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3E6" w:rsidRDefault="003155C6">
      <w:pPr>
        <w:tabs>
          <w:tab w:val="left" w:pos="1701"/>
          <w:tab w:val="right" w:pos="9923"/>
        </w:tabs>
        <w:spacing w:before="120" w:after="0" w:line="240" w:lineRule="auto"/>
        <w:rPr>
          <w:rFonts w:ascii="Arial" w:eastAsia="宋体" w:hAnsi="Arial" w:cs="Arial"/>
          <w:b/>
          <w:kern w:val="0"/>
          <w:sz w:val="24"/>
          <w:lang w:val="de-DE"/>
        </w:rPr>
      </w:pPr>
      <w:r>
        <w:rPr>
          <w:rFonts w:ascii="Arial" w:eastAsia="宋体" w:hAnsi="Arial" w:cs="Arial"/>
          <w:b/>
          <w:kern w:val="0"/>
          <w:sz w:val="24"/>
          <w:lang w:val="en-GB" w:eastAsia="en-GB"/>
        </w:rPr>
        <w:t>3GPP TSG-RAN WG2 Meeting #11</w:t>
      </w:r>
      <w:r>
        <w:rPr>
          <w:rFonts w:ascii="Arial" w:eastAsia="宋体" w:hAnsi="Arial" w:cs="Arial" w:hint="eastAsia"/>
          <w:b/>
          <w:kern w:val="0"/>
          <w:sz w:val="24"/>
          <w:lang w:val="de-DE"/>
        </w:rPr>
        <w:t>3</w:t>
      </w:r>
      <w:r>
        <w:rPr>
          <w:rFonts w:ascii="Arial" w:eastAsia="宋体" w:hAnsi="Arial" w:cs="Arial"/>
          <w:b/>
          <w:kern w:val="0"/>
          <w:sz w:val="24"/>
          <w:lang w:val="en-GB" w:eastAsia="en-GB"/>
        </w:rPr>
        <w:t xml:space="preserve"> electronic</w:t>
      </w:r>
      <w:r>
        <w:rPr>
          <w:rFonts w:ascii="Arial" w:eastAsia="宋体" w:hAnsi="Arial" w:cs="Arial"/>
          <w:b/>
          <w:kern w:val="0"/>
          <w:sz w:val="24"/>
          <w:lang w:val="en-GB" w:eastAsia="en-GB"/>
        </w:rPr>
        <w:tab/>
        <w:t>R2-</w:t>
      </w:r>
      <w:r>
        <w:rPr>
          <w:rFonts w:ascii="Arial" w:eastAsia="宋体" w:hAnsi="Arial" w:cs="Arial"/>
          <w:b/>
          <w:kern w:val="0"/>
          <w:sz w:val="24"/>
          <w:lang w:val="de-DE" w:eastAsia="en-GB"/>
        </w:rPr>
        <w:t>2</w:t>
      </w:r>
      <w:r>
        <w:rPr>
          <w:rFonts w:ascii="Arial" w:eastAsia="宋体" w:hAnsi="Arial" w:cs="Arial" w:hint="eastAsia"/>
          <w:b/>
          <w:kern w:val="0"/>
          <w:sz w:val="24"/>
        </w:rPr>
        <w:t>100572</w:t>
      </w:r>
    </w:p>
    <w:p w:rsidR="00FF43E6" w:rsidRDefault="003155C6">
      <w:pPr>
        <w:tabs>
          <w:tab w:val="left" w:pos="1701"/>
          <w:tab w:val="right" w:pos="9923"/>
        </w:tabs>
        <w:spacing w:before="120" w:after="0" w:line="240" w:lineRule="auto"/>
        <w:rPr>
          <w:rFonts w:ascii="Arial" w:eastAsia="MS Mincho" w:hAnsi="Arial"/>
          <w:b/>
          <w:kern w:val="0"/>
          <w:sz w:val="24"/>
          <w:lang w:val="en-GB" w:eastAsia="en-GB"/>
        </w:rPr>
      </w:pPr>
      <w:r>
        <w:rPr>
          <w:rFonts w:ascii="Arial" w:eastAsia="宋体" w:hAnsi="Arial" w:cs="Arial"/>
          <w:b/>
          <w:kern w:val="0"/>
          <w:sz w:val="24"/>
          <w:lang w:val="de-DE"/>
        </w:rPr>
        <w:t>Online, Jan 25 – Feb 5, 2021</w:t>
      </w:r>
    </w:p>
    <w:p w:rsidR="00FF43E6" w:rsidRDefault="00FF43E6">
      <w:pPr>
        <w:overflowPunct w:val="0"/>
        <w:autoSpaceDE w:val="0"/>
        <w:autoSpaceDN w:val="0"/>
        <w:adjustRightInd w:val="0"/>
        <w:snapToGrid w:val="0"/>
        <w:spacing w:line="240" w:lineRule="auto"/>
        <w:textAlignment w:val="baseline"/>
        <w:rPr>
          <w:rFonts w:ascii="Arial" w:hAnsi="Arial" w:cs="Arial"/>
          <w:b/>
          <w:bCs/>
          <w:kern w:val="0"/>
          <w:sz w:val="28"/>
          <w:szCs w:val="28"/>
        </w:rPr>
      </w:pPr>
    </w:p>
    <w:p w:rsidR="00FF43E6" w:rsidRDefault="003155C6">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FF43E6" w:rsidRDefault="003155C6">
      <w:pPr>
        <w:overflowPunct w:val="0"/>
        <w:autoSpaceDE w:val="0"/>
        <w:autoSpaceDN w:val="0"/>
        <w:adjustRightInd w:val="0"/>
        <w:snapToGrid w:val="0"/>
        <w:spacing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I</w:t>
      </w:r>
      <w:r>
        <w:rPr>
          <w:rFonts w:ascii="Arial" w:hAnsi="Arial" w:cs="Arial" w:hint="eastAsia"/>
          <w:b/>
          <w:bCs/>
          <w:snapToGrid w:val="0"/>
          <w:kern w:val="0"/>
          <w:sz w:val="24"/>
          <w:lang w:eastAsia="ja-JP"/>
        </w:rPr>
        <w:t xml:space="preserve">dentification and </w:t>
      </w:r>
      <w:r>
        <w:rPr>
          <w:rFonts w:ascii="Arial" w:hAnsi="Arial" w:cs="Arial" w:hint="eastAsia"/>
          <w:b/>
          <w:bCs/>
          <w:snapToGrid w:val="0"/>
          <w:kern w:val="0"/>
          <w:sz w:val="24"/>
        </w:rPr>
        <w:t>A</w:t>
      </w:r>
      <w:r>
        <w:rPr>
          <w:rFonts w:ascii="Arial" w:hAnsi="Arial" w:cs="Arial" w:hint="eastAsia"/>
          <w:b/>
          <w:bCs/>
          <w:snapToGrid w:val="0"/>
          <w:kern w:val="0"/>
          <w:sz w:val="24"/>
          <w:lang w:eastAsia="ja-JP"/>
        </w:rPr>
        <w:t xml:space="preserve">ccess </w:t>
      </w:r>
      <w:r>
        <w:rPr>
          <w:rFonts w:ascii="Arial" w:hAnsi="Arial" w:cs="Arial" w:hint="eastAsia"/>
          <w:b/>
          <w:bCs/>
          <w:snapToGrid w:val="0"/>
          <w:kern w:val="0"/>
          <w:sz w:val="24"/>
        </w:rPr>
        <w:t>Restriction for RedCap</w:t>
      </w:r>
    </w:p>
    <w:p w:rsidR="00FF43E6" w:rsidRDefault="003155C6">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bookmarkStart w:id="0" w:name="Source"/>
      <w:bookmarkEnd w:id="0"/>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8.12.2.2</w:t>
      </w:r>
    </w:p>
    <w:p w:rsidR="00FF43E6" w:rsidRDefault="003155C6">
      <w:pPr>
        <w:overflowPunct w:val="0"/>
        <w:autoSpaceDE w:val="0"/>
        <w:autoSpaceDN w:val="0"/>
        <w:adjustRightInd w:val="0"/>
        <w:snapToGrid w:val="0"/>
        <w:spacing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FF43E6" w:rsidRDefault="003155C6">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This contribution provides further consideration on remaining issues on RedCap UE Identification and access control.</w:t>
      </w:r>
    </w:p>
    <w:p w:rsidR="00FF43E6" w:rsidRDefault="003155C6">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FF43E6" w:rsidRDefault="003155C6">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Access restriction</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In RAN2#111-e meeting, </w:t>
      </w:r>
      <w:r>
        <w:rPr>
          <w:rFonts w:eastAsia="等线"/>
          <w:kern w:val="0"/>
          <w:sz w:val="20"/>
          <w:szCs w:val="20"/>
        </w:rPr>
        <w:t>RAN2</w:t>
      </w:r>
      <w:r>
        <w:rPr>
          <w:rFonts w:eastAsia="等线" w:hint="eastAsia"/>
          <w:kern w:val="0"/>
          <w:sz w:val="20"/>
          <w:szCs w:val="20"/>
        </w:rPr>
        <w:t xml:space="preserve"> </w:t>
      </w:r>
      <w:r>
        <w:rPr>
          <w:rFonts w:eastAsia="等线"/>
          <w:kern w:val="0"/>
          <w:sz w:val="20"/>
          <w:szCs w:val="20"/>
        </w:rPr>
        <w:t>has</w:t>
      </w:r>
      <w:r>
        <w:rPr>
          <w:rFonts w:eastAsia="等线" w:hint="eastAsia"/>
          <w:kern w:val="0"/>
          <w:sz w:val="20"/>
          <w:szCs w:val="20"/>
        </w:rPr>
        <w:t xml:space="preserve"> agreed that </w:t>
      </w:r>
      <w:r>
        <w:rPr>
          <w:rFonts w:eastAsia="等线"/>
          <w:kern w:val="0"/>
          <w:sz w:val="20"/>
          <w:szCs w:val="20"/>
        </w:rPr>
        <w:t>‘</w:t>
      </w:r>
      <w:r>
        <w:rPr>
          <w:rFonts w:eastAsia="等线" w:hint="eastAsia"/>
          <w:kern w:val="0"/>
          <w:sz w:val="20"/>
          <w:szCs w:val="20"/>
        </w:rPr>
        <w:t>An indication in system information is needed to indicate whethe</w:t>
      </w:r>
      <w:r>
        <w:rPr>
          <w:rFonts w:eastAsia="等线" w:hint="eastAsia"/>
          <w:kern w:val="0"/>
          <w:sz w:val="20"/>
          <w:szCs w:val="20"/>
        </w:rPr>
        <w:t>r a REDCAP UE can camp on the cell. FFS whether the indication is explicit or implicit</w:t>
      </w:r>
      <w:r>
        <w:rPr>
          <w:rFonts w:eastAsia="等线"/>
          <w:kern w:val="0"/>
          <w:sz w:val="20"/>
          <w:szCs w:val="20"/>
        </w:rPr>
        <w:t>’</w:t>
      </w:r>
      <w:r>
        <w:rPr>
          <w:rFonts w:eastAsia="等线" w:hint="eastAsia"/>
          <w:kern w:val="0"/>
          <w:sz w:val="20"/>
          <w:szCs w:val="20"/>
        </w:rPr>
        <w:t>:</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Agreements:</w:t>
      </w:r>
    </w:p>
    <w:p w:rsidR="00FF43E6" w:rsidRDefault="003155C6">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szCs w:val="20"/>
          <w:lang w:val="en-GB" w:eastAsia="en-GB"/>
        </w:rPr>
      </w:pPr>
      <w:r>
        <w:rPr>
          <w:rFonts w:ascii="Arial" w:eastAsia="MS Mincho" w:hAnsi="Arial"/>
          <w:color w:val="0000FF"/>
          <w:sz w:val="20"/>
          <w:szCs w:val="20"/>
          <w:lang w:val="en-GB" w:eastAsia="en-GB"/>
        </w:rPr>
        <w:t xml:space="preserve">An indication in system information is needed to indicate whether a REDCAP UE can camp on the cell. FFS whether the indication is explicit or implicit. </w:t>
      </w:r>
    </w:p>
    <w:p w:rsidR="00FF43E6" w:rsidRDefault="003155C6">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UAC mechanism also apply to REDCAP UEs.</w:t>
      </w:r>
    </w:p>
    <w:p w:rsidR="00FF43E6" w:rsidRDefault="003155C6">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System information indicates whether REDCAP operation is allowed/barred on a frequency. FFS reuse the legacy intraFreqReselection or introduce separate flag</w:t>
      </w:r>
    </w:p>
    <w:p w:rsidR="00FF43E6" w:rsidRDefault="003155C6">
      <w:pPr>
        <w:numPr>
          <w:ilvl w:val="0"/>
          <w:numId w:val="4"/>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Further discuss enhancement of UAC for REDCAP UEs, includin</w:t>
      </w:r>
      <w:r>
        <w:rPr>
          <w:rFonts w:ascii="Arial" w:eastAsia="MS Mincho" w:hAnsi="Arial"/>
          <w:sz w:val="20"/>
          <w:szCs w:val="20"/>
          <w:lang w:val="en-GB" w:eastAsia="en-GB"/>
        </w:rPr>
        <w:t>g e.g.:</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ab/>
        <w:t>a. define new Access Identity for REDCAP UEs</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ab/>
        <w:t>b. define new Access Categories for REDCAP UEs</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ab/>
        <w:t>(for any final decision we need to check with SA1 and/or CT1)</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With this indication, the network can prevent RedCap UE from camping on a Cell based on NW </w:t>
      </w:r>
      <w:r>
        <w:rPr>
          <w:rFonts w:eastAsia="等线" w:hint="eastAsia"/>
          <w:kern w:val="0"/>
          <w:sz w:val="20"/>
          <w:szCs w:val="20"/>
        </w:rPr>
        <w:t xml:space="preserve">capability or deployment policy. </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However, it is still unclear whether network can configure this indication </w:t>
      </w:r>
      <w:r>
        <w:rPr>
          <w:rFonts w:eastAsia="等线"/>
          <w:kern w:val="0"/>
          <w:sz w:val="20"/>
          <w:szCs w:val="20"/>
        </w:rPr>
        <w:t xml:space="preserve">separately </w:t>
      </w:r>
      <w:r>
        <w:rPr>
          <w:rFonts w:eastAsia="等线" w:hint="eastAsia"/>
          <w:kern w:val="0"/>
          <w:sz w:val="20"/>
          <w:szCs w:val="20"/>
        </w:rPr>
        <w:t>for RedCap UE</w:t>
      </w:r>
      <w:r>
        <w:rPr>
          <w:rFonts w:eastAsia="等线"/>
          <w:kern w:val="0"/>
          <w:sz w:val="20"/>
          <w:szCs w:val="20"/>
        </w:rPr>
        <w:t>, different from</w:t>
      </w:r>
      <w:r>
        <w:rPr>
          <w:rFonts w:eastAsia="等线" w:hint="eastAsia"/>
          <w:kern w:val="0"/>
          <w:sz w:val="20"/>
          <w:szCs w:val="20"/>
        </w:rPr>
        <w:t xml:space="preserve"> legacy cell barring for non-RedCap UE, i.e. whether following three cell types are supported:</w:t>
      </w:r>
    </w:p>
    <w:p w:rsidR="00FF43E6" w:rsidRDefault="003155C6">
      <w:pPr>
        <w:widowControl/>
        <w:numPr>
          <w:ilvl w:val="0"/>
          <w:numId w:val="5"/>
        </w:numPr>
        <w:overflowPunct w:val="0"/>
        <w:autoSpaceDE w:val="0"/>
        <w:autoSpaceDN w:val="0"/>
        <w:spacing w:after="120" w:line="240" w:lineRule="auto"/>
        <w:ind w:left="1259"/>
        <w:rPr>
          <w:rFonts w:eastAsia="等线"/>
          <w:kern w:val="0"/>
          <w:sz w:val="20"/>
          <w:szCs w:val="20"/>
        </w:rPr>
      </w:pPr>
      <w:r>
        <w:rPr>
          <w:rFonts w:eastAsia="等线" w:hint="eastAsia"/>
          <w:kern w:val="0"/>
          <w:sz w:val="20"/>
          <w:szCs w:val="20"/>
        </w:rPr>
        <w:t>Type 1: Non-</w:t>
      </w:r>
      <w:r>
        <w:rPr>
          <w:rFonts w:eastAsia="等线" w:hint="eastAsia"/>
          <w:kern w:val="0"/>
          <w:sz w:val="20"/>
          <w:szCs w:val="20"/>
        </w:rPr>
        <w:t>RedCap UE access only, i.e.RedCap UE access is not supported or barred.</w:t>
      </w:r>
    </w:p>
    <w:p w:rsidR="00FF43E6" w:rsidRDefault="003155C6">
      <w:pPr>
        <w:widowControl/>
        <w:numPr>
          <w:ilvl w:val="0"/>
          <w:numId w:val="5"/>
        </w:numPr>
        <w:overflowPunct w:val="0"/>
        <w:autoSpaceDE w:val="0"/>
        <w:autoSpaceDN w:val="0"/>
        <w:spacing w:after="120" w:line="240" w:lineRule="auto"/>
        <w:ind w:left="1259"/>
        <w:rPr>
          <w:rFonts w:eastAsia="等线"/>
          <w:kern w:val="0"/>
          <w:sz w:val="20"/>
          <w:szCs w:val="20"/>
        </w:rPr>
      </w:pPr>
      <w:r>
        <w:rPr>
          <w:rFonts w:eastAsia="等线" w:hint="eastAsia"/>
          <w:kern w:val="0"/>
          <w:sz w:val="20"/>
          <w:szCs w:val="20"/>
        </w:rPr>
        <w:t>Type 2: RedCap UE access only, i.e. Non-RedCap UE access is barred.</w:t>
      </w:r>
    </w:p>
    <w:p w:rsidR="00FF43E6" w:rsidRDefault="003155C6">
      <w:pPr>
        <w:widowControl/>
        <w:numPr>
          <w:ilvl w:val="0"/>
          <w:numId w:val="5"/>
        </w:numPr>
        <w:overflowPunct w:val="0"/>
        <w:autoSpaceDE w:val="0"/>
        <w:autoSpaceDN w:val="0"/>
        <w:spacing w:after="120" w:line="240" w:lineRule="auto"/>
        <w:ind w:left="1259"/>
        <w:rPr>
          <w:rFonts w:eastAsia="等线"/>
          <w:kern w:val="0"/>
          <w:sz w:val="20"/>
          <w:szCs w:val="20"/>
        </w:rPr>
      </w:pPr>
      <w:r>
        <w:rPr>
          <w:rFonts w:eastAsia="等线" w:hint="eastAsia"/>
          <w:kern w:val="0"/>
          <w:sz w:val="20"/>
          <w:szCs w:val="20"/>
        </w:rPr>
        <w:t>Type 3: Both non-RedCap UE and RedCap UE access are allowed.</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Per our understanding, each type has </w:t>
      </w:r>
      <w:r>
        <w:rPr>
          <w:rFonts w:eastAsia="等线"/>
          <w:kern w:val="0"/>
          <w:sz w:val="20"/>
          <w:szCs w:val="20"/>
        </w:rPr>
        <w:t xml:space="preserve">a corresponding deployment </w:t>
      </w:r>
      <w:r>
        <w:rPr>
          <w:rFonts w:eastAsia="等线" w:hint="eastAsia"/>
          <w:kern w:val="0"/>
          <w:sz w:val="20"/>
          <w:szCs w:val="20"/>
        </w:rPr>
        <w:t xml:space="preserve"> scenario. </w:t>
      </w:r>
      <w:r>
        <w:rPr>
          <w:rFonts w:eastAsia="等线"/>
          <w:kern w:val="0"/>
          <w:sz w:val="20"/>
          <w:szCs w:val="20"/>
        </w:rPr>
        <w:t>For instance, c</w:t>
      </w:r>
      <w:r>
        <w:rPr>
          <w:rFonts w:eastAsia="等线" w:hint="eastAsia"/>
          <w:kern w:val="0"/>
          <w:sz w:val="20"/>
          <w:szCs w:val="20"/>
        </w:rPr>
        <w:t xml:space="preserve">ell dedicated for RedCap UE access may be preferred for connected industrial and video </w:t>
      </w:r>
      <w:r>
        <w:rPr>
          <w:rFonts w:eastAsia="等线"/>
          <w:kern w:val="0"/>
          <w:sz w:val="20"/>
          <w:szCs w:val="20"/>
          <w:lang w:val="en-GB" w:eastAsia="en-US"/>
        </w:rPr>
        <w:t>Surveillance</w:t>
      </w:r>
      <w:r>
        <w:rPr>
          <w:rFonts w:eastAsia="等线" w:hint="eastAsia"/>
          <w:kern w:val="0"/>
          <w:sz w:val="20"/>
          <w:szCs w:val="20"/>
        </w:rPr>
        <w:t xml:space="preserve"> in certain exclusive areas. While for wearable use case, it is more reasonable supported in RedCap and </w:t>
      </w:r>
      <w:r>
        <w:rPr>
          <w:rFonts w:eastAsia="等线" w:hint="eastAsia"/>
          <w:kern w:val="0"/>
          <w:sz w:val="20"/>
          <w:szCs w:val="20"/>
        </w:rPr>
        <w:t xml:space="preserve">non-RedCap coexist deployment. In some other scenarios, NW </w:t>
      </w:r>
      <w:r>
        <w:rPr>
          <w:rFonts w:eastAsia="等线"/>
          <w:kern w:val="0"/>
          <w:sz w:val="20"/>
          <w:szCs w:val="20"/>
        </w:rPr>
        <w:lastRenderedPageBreak/>
        <w:t>may want</w:t>
      </w:r>
      <w:r>
        <w:rPr>
          <w:rFonts w:eastAsia="等线" w:hint="eastAsia"/>
          <w:kern w:val="0"/>
          <w:sz w:val="20"/>
          <w:szCs w:val="20"/>
        </w:rPr>
        <w:t xml:space="preserve"> to bar RedCap UE to avoid performance degradation of eMBB and URLLC services</w:t>
      </w:r>
      <w:r>
        <w:rPr>
          <w:rFonts w:eastAsia="等线"/>
          <w:kern w:val="0"/>
          <w:sz w:val="20"/>
          <w:szCs w:val="20"/>
        </w:rPr>
        <w:t>,</w:t>
      </w:r>
      <w:r>
        <w:rPr>
          <w:rFonts w:eastAsia="等线" w:hint="eastAsia"/>
          <w:kern w:val="0"/>
          <w:sz w:val="20"/>
          <w:szCs w:val="20"/>
        </w:rPr>
        <w:t xml:space="preserve"> </w:t>
      </w:r>
      <w:r>
        <w:rPr>
          <w:rFonts w:eastAsia="等线"/>
          <w:kern w:val="0"/>
          <w:sz w:val="20"/>
          <w:szCs w:val="20"/>
        </w:rPr>
        <w:t>because of</w:t>
      </w:r>
      <w:r>
        <w:rPr>
          <w:rFonts w:eastAsia="等线" w:hint="eastAsia"/>
          <w:kern w:val="0"/>
          <w:sz w:val="20"/>
          <w:szCs w:val="20"/>
        </w:rPr>
        <w:t xml:space="preserve"> </w:t>
      </w:r>
      <w:r>
        <w:rPr>
          <w:rFonts w:eastAsia="等线"/>
          <w:kern w:val="0"/>
          <w:sz w:val="20"/>
          <w:szCs w:val="20"/>
        </w:rPr>
        <w:t xml:space="preserve">the </w:t>
      </w:r>
      <w:r>
        <w:rPr>
          <w:rFonts w:eastAsia="等线" w:hint="eastAsia"/>
          <w:kern w:val="0"/>
          <w:sz w:val="20"/>
          <w:szCs w:val="20"/>
        </w:rPr>
        <w:t>potential huge number of RedCap UE</w:t>
      </w:r>
      <w:r>
        <w:rPr>
          <w:rFonts w:eastAsia="等线"/>
          <w:kern w:val="0"/>
          <w:sz w:val="20"/>
          <w:szCs w:val="20"/>
        </w:rPr>
        <w:t>s</w:t>
      </w:r>
      <w:r>
        <w:rPr>
          <w:rFonts w:eastAsia="等线" w:hint="eastAsia"/>
          <w:kern w:val="0"/>
          <w:sz w:val="20"/>
          <w:szCs w:val="20"/>
        </w:rPr>
        <w:t>.</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1: A cell can be configured as non-RedCap access </w:t>
      </w:r>
      <w:r>
        <w:rPr>
          <w:rFonts w:eastAsia="宋体" w:hint="eastAsia"/>
          <w:b/>
          <w:bCs/>
          <w:kern w:val="0"/>
          <w:sz w:val="20"/>
          <w:szCs w:val="20"/>
        </w:rPr>
        <w:t>only, RedCap access only, or RedCap and non-RedCap coexist, i.e. cell barring for non-RedCap UE and RedCap UE can be configured independently.</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In current specification, cell barring for non-RedCap UE is implemented by set</w:t>
      </w:r>
      <w:r>
        <w:rPr>
          <w:rFonts w:eastAsia="等线"/>
          <w:kern w:val="0"/>
          <w:sz w:val="20"/>
          <w:szCs w:val="20"/>
        </w:rPr>
        <w:t>ting</w:t>
      </w:r>
      <w:r>
        <w:rPr>
          <w:rFonts w:eastAsia="等线" w:hint="eastAsia"/>
          <w:kern w:val="0"/>
          <w:sz w:val="20"/>
          <w:szCs w:val="20"/>
        </w:rPr>
        <w:t xml:space="preserve"> </w:t>
      </w:r>
      <w:r>
        <w:rPr>
          <w:rFonts w:eastAsia="等线"/>
          <w:kern w:val="0"/>
          <w:sz w:val="20"/>
          <w:szCs w:val="20"/>
        </w:rPr>
        <w:t>“</w:t>
      </w:r>
      <w:r>
        <w:rPr>
          <w:rFonts w:eastAsia="等线" w:hint="eastAsia"/>
          <w:kern w:val="0"/>
          <w:sz w:val="20"/>
          <w:szCs w:val="20"/>
        </w:rPr>
        <w:t>cellBarred</w:t>
      </w:r>
      <w:r>
        <w:rPr>
          <w:rFonts w:eastAsia="等线"/>
          <w:kern w:val="0"/>
          <w:sz w:val="20"/>
          <w:szCs w:val="20"/>
        </w:rPr>
        <w:t>”</w:t>
      </w:r>
      <w:r>
        <w:rPr>
          <w:rFonts w:eastAsia="等线" w:hint="eastAsia"/>
          <w:kern w:val="0"/>
          <w:sz w:val="20"/>
          <w:szCs w:val="20"/>
        </w:rPr>
        <w:t xml:space="preserve"> IE in MIB. To sup</w:t>
      </w:r>
      <w:r>
        <w:rPr>
          <w:rFonts w:eastAsia="等线" w:hint="eastAsia"/>
          <w:kern w:val="0"/>
          <w:sz w:val="20"/>
          <w:szCs w:val="20"/>
        </w:rPr>
        <w:t xml:space="preserve">port cell barring for RedCap UE and non-RedCap UE independently, current </w:t>
      </w:r>
      <w:r>
        <w:rPr>
          <w:rFonts w:eastAsia="等线"/>
          <w:kern w:val="0"/>
          <w:sz w:val="20"/>
          <w:szCs w:val="20"/>
        </w:rPr>
        <w:t>“</w:t>
      </w:r>
      <w:r>
        <w:rPr>
          <w:rFonts w:eastAsia="等线" w:hint="eastAsia"/>
          <w:kern w:val="0"/>
          <w:sz w:val="20"/>
          <w:szCs w:val="20"/>
        </w:rPr>
        <w:t>cellBarred</w:t>
      </w:r>
      <w:r>
        <w:rPr>
          <w:rFonts w:eastAsia="等线"/>
          <w:kern w:val="0"/>
          <w:sz w:val="20"/>
          <w:szCs w:val="20"/>
        </w:rPr>
        <w:t>”</w:t>
      </w:r>
      <w:r>
        <w:rPr>
          <w:rFonts w:eastAsia="等线" w:hint="eastAsia"/>
          <w:kern w:val="0"/>
          <w:sz w:val="20"/>
          <w:szCs w:val="20"/>
        </w:rPr>
        <w:t xml:space="preserve"> in MIB should not be applied to RedCap UE, i.e. this legacy mechanism is applied to non-RedCap UE only. Otherwise, </w:t>
      </w:r>
      <w:r>
        <w:rPr>
          <w:rFonts w:eastAsia="等线"/>
          <w:kern w:val="0"/>
          <w:sz w:val="20"/>
          <w:szCs w:val="20"/>
        </w:rPr>
        <w:t xml:space="preserve">for above cell type 2, an </w:t>
      </w:r>
      <w:r>
        <w:rPr>
          <w:rFonts w:eastAsia="等线" w:hint="eastAsia"/>
          <w:kern w:val="0"/>
          <w:sz w:val="20"/>
          <w:szCs w:val="20"/>
        </w:rPr>
        <w:t xml:space="preserve">additional signaling such as </w:t>
      </w:r>
      <w:r>
        <w:rPr>
          <w:rFonts w:eastAsia="等线"/>
          <w:kern w:val="0"/>
          <w:sz w:val="20"/>
          <w:szCs w:val="20"/>
        </w:rPr>
        <w:t>“</w:t>
      </w:r>
      <w:r>
        <w:rPr>
          <w:rFonts w:eastAsia="等线" w:hint="eastAsia"/>
          <w:kern w:val="0"/>
          <w:sz w:val="20"/>
          <w:szCs w:val="20"/>
        </w:rPr>
        <w:t>RedCap access allowed</w:t>
      </w:r>
      <w:r>
        <w:rPr>
          <w:rFonts w:eastAsia="等线"/>
          <w:kern w:val="0"/>
          <w:sz w:val="20"/>
          <w:szCs w:val="20"/>
        </w:rPr>
        <w:t>” should be introduced, this implies the evaluation on legacy “cellBarred” field for Redcap UE is redundant. In addition, for above cell type 1, an additional signalling such as</w:t>
      </w:r>
      <w:r>
        <w:rPr>
          <w:rFonts w:eastAsia="等线" w:hint="eastAsia"/>
          <w:kern w:val="0"/>
          <w:sz w:val="20"/>
          <w:szCs w:val="20"/>
        </w:rPr>
        <w:t xml:space="preserve"> </w:t>
      </w:r>
      <w:r>
        <w:rPr>
          <w:rFonts w:eastAsia="等线"/>
          <w:kern w:val="0"/>
          <w:sz w:val="20"/>
          <w:szCs w:val="20"/>
        </w:rPr>
        <w:t>“</w:t>
      </w:r>
      <w:r>
        <w:rPr>
          <w:rFonts w:eastAsia="等线" w:hint="eastAsia"/>
          <w:kern w:val="0"/>
          <w:sz w:val="20"/>
          <w:szCs w:val="20"/>
        </w:rPr>
        <w:t>non-RedCap access allowed</w:t>
      </w:r>
      <w:r>
        <w:rPr>
          <w:rFonts w:eastAsia="等线"/>
          <w:kern w:val="0"/>
          <w:sz w:val="20"/>
          <w:szCs w:val="20"/>
        </w:rPr>
        <w:t>”</w:t>
      </w:r>
      <w:r>
        <w:rPr>
          <w:rFonts w:eastAsia="等线" w:hint="eastAsia"/>
          <w:kern w:val="0"/>
          <w:sz w:val="20"/>
          <w:szCs w:val="20"/>
        </w:rPr>
        <w:t xml:space="preserve"> will be needed and it is not</w:t>
      </w:r>
      <w:r>
        <w:rPr>
          <w:rFonts w:eastAsia="等线" w:hint="eastAsia"/>
          <w:kern w:val="0"/>
          <w:sz w:val="20"/>
          <w:szCs w:val="20"/>
        </w:rPr>
        <w:t xml:space="preserve"> backward compatible for legacy non-RedCap UE.</w:t>
      </w:r>
    </w:p>
    <w:p w:rsidR="00FF43E6" w:rsidRDefault="003155C6">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2: Current </w:t>
      </w:r>
      <w:r>
        <w:rPr>
          <w:rFonts w:eastAsia="宋体"/>
          <w:b/>
          <w:bCs/>
          <w:kern w:val="0"/>
          <w:sz w:val="20"/>
          <w:szCs w:val="20"/>
        </w:rPr>
        <w:t>“</w:t>
      </w:r>
      <w:r>
        <w:rPr>
          <w:rFonts w:eastAsia="宋体" w:hint="eastAsia"/>
          <w:b/>
          <w:bCs/>
          <w:i/>
          <w:iCs/>
          <w:kern w:val="0"/>
          <w:sz w:val="20"/>
          <w:szCs w:val="20"/>
        </w:rPr>
        <w:t>cellBarred</w:t>
      </w:r>
      <w:r>
        <w:rPr>
          <w:rFonts w:eastAsia="宋体"/>
          <w:b/>
          <w:bCs/>
          <w:kern w:val="0"/>
          <w:sz w:val="20"/>
          <w:szCs w:val="20"/>
        </w:rPr>
        <w:t>”</w:t>
      </w:r>
      <w:r>
        <w:rPr>
          <w:rFonts w:eastAsia="宋体" w:hint="eastAsia"/>
          <w:b/>
          <w:bCs/>
          <w:kern w:val="0"/>
          <w:sz w:val="20"/>
          <w:szCs w:val="20"/>
        </w:rPr>
        <w:t xml:space="preserve"> in MIB is not applicable for RedCap UE.</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Regarding </w:t>
      </w:r>
      <w:r>
        <w:rPr>
          <w:rFonts w:eastAsia="等线"/>
          <w:kern w:val="0"/>
          <w:sz w:val="20"/>
          <w:szCs w:val="20"/>
        </w:rPr>
        <w:t>“</w:t>
      </w:r>
      <w:r>
        <w:rPr>
          <w:rFonts w:eastAsia="等线" w:hint="eastAsia"/>
          <w:kern w:val="0"/>
          <w:sz w:val="20"/>
          <w:szCs w:val="20"/>
        </w:rPr>
        <w:t xml:space="preserve">FFS </w:t>
      </w:r>
      <w:r>
        <w:rPr>
          <w:rFonts w:eastAsia="等线" w:hint="eastAsia"/>
          <w:kern w:val="0"/>
          <w:sz w:val="20"/>
          <w:szCs w:val="20"/>
          <w:lang w:val="en-GB" w:eastAsia="en-GB"/>
        </w:rPr>
        <w:t>whether the indication is explicit or implicit.</w:t>
      </w:r>
      <w:r>
        <w:rPr>
          <w:rFonts w:eastAsia="等线"/>
          <w:kern w:val="0"/>
          <w:sz w:val="20"/>
          <w:szCs w:val="20"/>
        </w:rPr>
        <w:t>”</w:t>
      </w:r>
      <w:r>
        <w:rPr>
          <w:rFonts w:eastAsia="等线" w:hint="eastAsia"/>
          <w:kern w:val="0"/>
          <w:sz w:val="20"/>
          <w:szCs w:val="20"/>
        </w:rPr>
        <w:t>, we think it is beneficial to signal the indication as early as possible</w:t>
      </w:r>
      <w:r>
        <w:rPr>
          <w:rFonts w:eastAsia="等线" w:hint="eastAsia"/>
          <w:kern w:val="0"/>
          <w:sz w:val="20"/>
          <w:szCs w:val="20"/>
        </w:rPr>
        <w:t xml:space="preserve"> for the sake of RedCap UE</w:t>
      </w:r>
      <w:r>
        <w:rPr>
          <w:rFonts w:eastAsia="等线"/>
          <w:kern w:val="0"/>
          <w:sz w:val="20"/>
          <w:szCs w:val="20"/>
        </w:rPr>
        <w:t>’</w:t>
      </w:r>
      <w:r>
        <w:rPr>
          <w:rFonts w:eastAsia="等线" w:hint="eastAsia"/>
          <w:kern w:val="0"/>
          <w:sz w:val="20"/>
          <w:szCs w:val="20"/>
        </w:rPr>
        <w:t xml:space="preserve">s power saving. In current RAN1 discussion, there are proposals to include the indication in MIB, DCI for scheduling SIB1, and SIB1. From UE power saving point of view, MIB is the best choice. However there is only one spare bit </w:t>
      </w:r>
      <w:r>
        <w:rPr>
          <w:rFonts w:eastAsia="等线" w:hint="eastAsia"/>
          <w:kern w:val="0"/>
          <w:sz w:val="20"/>
          <w:szCs w:val="20"/>
        </w:rPr>
        <w:t>in MIB. DCI for SIB1 scheduling has enough spare bits and UE needs not to receive SIB1 to check whether RedCap access is supported. Thus it should also be considered as an option.</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3: </w:t>
      </w:r>
      <w:r>
        <w:rPr>
          <w:rFonts w:eastAsia="宋体" w:hint="eastAsia"/>
          <w:b/>
          <w:bCs/>
          <w:kern w:val="0"/>
          <w:sz w:val="20"/>
          <w:szCs w:val="20"/>
        </w:rPr>
        <w:t xml:space="preserve">To </w:t>
      </w:r>
      <w:r>
        <w:rPr>
          <w:rFonts w:eastAsia="宋体" w:hint="eastAsia"/>
          <w:b/>
          <w:bCs/>
          <w:kern w:val="0"/>
          <w:sz w:val="20"/>
          <w:szCs w:val="20"/>
        </w:rPr>
        <w:t>reflect the following alternatives in the TR for indicating w</w:t>
      </w:r>
      <w:r>
        <w:rPr>
          <w:rFonts w:eastAsia="宋体" w:hint="eastAsia"/>
          <w:b/>
          <w:bCs/>
          <w:kern w:val="0"/>
          <w:sz w:val="20"/>
          <w:szCs w:val="20"/>
        </w:rPr>
        <w:t xml:space="preserve">hether Redcap UE can camp on current cell: </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b/>
          <w:bCs/>
          <w:kern w:val="0"/>
          <w:sz w:val="20"/>
          <w:szCs w:val="20"/>
        </w:rPr>
        <w:t xml:space="preserve">An explicit </w:t>
      </w:r>
      <w:r>
        <w:rPr>
          <w:rFonts w:eastAsia="宋体" w:hint="eastAsia"/>
          <w:b/>
          <w:bCs/>
          <w:kern w:val="0"/>
          <w:sz w:val="20"/>
          <w:szCs w:val="20"/>
        </w:rPr>
        <w:t xml:space="preserve">indication </w:t>
      </w:r>
      <w:r>
        <w:rPr>
          <w:rFonts w:eastAsia="宋体"/>
          <w:b/>
          <w:bCs/>
          <w:kern w:val="0"/>
          <w:sz w:val="20"/>
          <w:szCs w:val="20"/>
        </w:rPr>
        <w:t xml:space="preserve">included </w:t>
      </w:r>
      <w:r>
        <w:rPr>
          <w:rFonts w:eastAsia="宋体" w:hint="eastAsia"/>
          <w:b/>
          <w:bCs/>
          <w:kern w:val="0"/>
          <w:sz w:val="20"/>
          <w:szCs w:val="20"/>
        </w:rPr>
        <w:t>in MIB</w:t>
      </w:r>
      <w:r>
        <w:rPr>
          <w:rFonts w:eastAsia="宋体"/>
          <w:b/>
          <w:bCs/>
          <w:kern w:val="0"/>
          <w:sz w:val="20"/>
          <w:szCs w:val="20"/>
        </w:rPr>
        <w:t>;</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An explicit i</w:t>
      </w:r>
      <w:r>
        <w:rPr>
          <w:rFonts w:eastAsia="宋体"/>
          <w:b/>
          <w:bCs/>
          <w:kern w:val="0"/>
          <w:sz w:val="20"/>
          <w:szCs w:val="20"/>
        </w:rPr>
        <w:t xml:space="preserve">ndication included in the </w:t>
      </w:r>
      <w:r>
        <w:rPr>
          <w:rFonts w:eastAsia="宋体" w:hint="eastAsia"/>
          <w:b/>
          <w:bCs/>
          <w:kern w:val="0"/>
          <w:sz w:val="20"/>
          <w:szCs w:val="20"/>
        </w:rPr>
        <w:t xml:space="preserve">DCI </w:t>
      </w:r>
      <w:r>
        <w:rPr>
          <w:rFonts w:eastAsia="宋体"/>
          <w:b/>
          <w:bCs/>
          <w:kern w:val="0"/>
          <w:sz w:val="20"/>
          <w:szCs w:val="20"/>
        </w:rPr>
        <w:t xml:space="preserve">used </w:t>
      </w:r>
      <w:r>
        <w:rPr>
          <w:rFonts w:eastAsia="宋体" w:hint="eastAsia"/>
          <w:b/>
          <w:bCs/>
          <w:kern w:val="0"/>
          <w:sz w:val="20"/>
          <w:szCs w:val="20"/>
        </w:rPr>
        <w:t>for SIB1 scheduling</w:t>
      </w:r>
      <w:r>
        <w:rPr>
          <w:rFonts w:eastAsia="宋体"/>
          <w:b/>
          <w:bCs/>
          <w:kern w:val="0"/>
          <w:sz w:val="20"/>
          <w:szCs w:val="20"/>
        </w:rPr>
        <w:t>;</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b/>
          <w:bCs/>
          <w:kern w:val="0"/>
          <w:sz w:val="20"/>
          <w:szCs w:val="20"/>
        </w:rPr>
        <w:t xml:space="preserve">An explicit </w:t>
      </w:r>
      <w:r>
        <w:rPr>
          <w:rFonts w:eastAsia="宋体" w:hint="eastAsia"/>
          <w:b/>
          <w:bCs/>
          <w:kern w:val="0"/>
          <w:sz w:val="20"/>
          <w:szCs w:val="20"/>
        </w:rPr>
        <w:t>indication</w:t>
      </w:r>
      <w:r>
        <w:rPr>
          <w:rFonts w:eastAsia="宋体"/>
          <w:b/>
          <w:bCs/>
          <w:kern w:val="0"/>
          <w:sz w:val="20"/>
          <w:szCs w:val="20"/>
        </w:rPr>
        <w:t xml:space="preserve"> included in </w:t>
      </w:r>
      <w:r>
        <w:rPr>
          <w:rFonts w:eastAsia="宋体" w:hint="eastAsia"/>
          <w:b/>
          <w:bCs/>
          <w:kern w:val="0"/>
          <w:sz w:val="20"/>
          <w:szCs w:val="20"/>
        </w:rPr>
        <w:t>SIB1</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If a cell can be configured as non-RedCap access only, there </w:t>
      </w:r>
      <w:r>
        <w:rPr>
          <w:rFonts w:eastAsia="等线" w:hint="eastAsia"/>
          <w:kern w:val="0"/>
          <w:sz w:val="20"/>
          <w:szCs w:val="20"/>
        </w:rPr>
        <w:t>will be neighboring frequency/cells not supporting RedCap access. In current system information, cell reselection configuration are designed for non-RedCap UE. To avoid unnecessary measurement, the network should be able to indicate whether a neighboring f</w:t>
      </w:r>
      <w:r>
        <w:rPr>
          <w:rFonts w:eastAsia="等线" w:hint="eastAsia"/>
          <w:kern w:val="0"/>
          <w:sz w:val="20"/>
          <w:szCs w:val="20"/>
        </w:rPr>
        <w:t>requency/cell for cell reselection support RedCap UE access.</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For the frequency/cell supporting both RedCap and non-RedCap UE, an indication can be added in current IE to indicate </w:t>
      </w:r>
      <w:r>
        <w:rPr>
          <w:rFonts w:eastAsia="等线"/>
          <w:kern w:val="0"/>
          <w:sz w:val="20"/>
          <w:szCs w:val="20"/>
        </w:rPr>
        <w:t>whether</w:t>
      </w:r>
      <w:r>
        <w:rPr>
          <w:rFonts w:eastAsia="等线" w:hint="eastAsia"/>
          <w:kern w:val="0"/>
          <w:sz w:val="20"/>
          <w:szCs w:val="20"/>
        </w:rPr>
        <w:t xml:space="preserve"> corresponding frequency/cell can support RedCap access. While for the</w:t>
      </w:r>
      <w:r>
        <w:rPr>
          <w:rFonts w:eastAsia="等线" w:hint="eastAsia"/>
          <w:kern w:val="0"/>
          <w:sz w:val="20"/>
          <w:szCs w:val="20"/>
        </w:rPr>
        <w:t xml:space="preserve"> frequency/cell only support RedCap UE, a separate frequency or cell list dedicated for RedCap UE can be </w:t>
      </w:r>
      <w:r>
        <w:rPr>
          <w:rFonts w:eastAsia="等线"/>
          <w:kern w:val="0"/>
          <w:sz w:val="20"/>
          <w:szCs w:val="20"/>
        </w:rPr>
        <w:t>introduced</w:t>
      </w:r>
      <w:r>
        <w:rPr>
          <w:rFonts w:eastAsia="等线" w:hint="eastAsia"/>
          <w:kern w:val="0"/>
          <w:sz w:val="20"/>
          <w:szCs w:val="20"/>
        </w:rPr>
        <w:t>.</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4: For each inter-frequency and/or neighbour cell, network can indicate whether it is applicable to </w:t>
      </w:r>
      <w:r>
        <w:rPr>
          <w:rFonts w:eastAsia="宋体"/>
          <w:b/>
          <w:bCs/>
          <w:kern w:val="0"/>
          <w:sz w:val="20"/>
          <w:szCs w:val="20"/>
        </w:rPr>
        <w:t>‘</w:t>
      </w:r>
      <w:r>
        <w:rPr>
          <w:rFonts w:eastAsia="宋体" w:hint="eastAsia"/>
          <w:b/>
          <w:bCs/>
          <w:kern w:val="0"/>
          <w:sz w:val="20"/>
          <w:szCs w:val="20"/>
        </w:rPr>
        <w:t>Redcap only</w:t>
      </w:r>
      <w:r>
        <w:rPr>
          <w:rFonts w:eastAsia="宋体"/>
          <w:b/>
          <w:bCs/>
          <w:kern w:val="0"/>
          <w:sz w:val="20"/>
          <w:szCs w:val="20"/>
        </w:rPr>
        <w:t>’</w:t>
      </w:r>
      <w:r>
        <w:rPr>
          <w:rFonts w:eastAsia="宋体" w:hint="eastAsia"/>
          <w:b/>
          <w:bCs/>
          <w:kern w:val="0"/>
          <w:sz w:val="20"/>
          <w:szCs w:val="20"/>
        </w:rPr>
        <w:t xml:space="preserve"> or </w:t>
      </w:r>
      <w:r>
        <w:rPr>
          <w:rFonts w:eastAsia="宋体"/>
          <w:b/>
          <w:bCs/>
          <w:kern w:val="0"/>
          <w:sz w:val="20"/>
          <w:szCs w:val="20"/>
        </w:rPr>
        <w:t>‘</w:t>
      </w:r>
      <w:r>
        <w:rPr>
          <w:rFonts w:eastAsia="宋体" w:hint="eastAsia"/>
          <w:b/>
          <w:bCs/>
          <w:kern w:val="0"/>
          <w:sz w:val="20"/>
          <w:szCs w:val="20"/>
        </w:rPr>
        <w:t>non-Redcap o</w:t>
      </w:r>
      <w:r>
        <w:rPr>
          <w:rFonts w:eastAsia="宋体" w:hint="eastAsia"/>
          <w:b/>
          <w:bCs/>
          <w:kern w:val="0"/>
          <w:sz w:val="20"/>
          <w:szCs w:val="20"/>
        </w:rPr>
        <w:t>nly</w:t>
      </w:r>
      <w:r>
        <w:rPr>
          <w:rFonts w:eastAsia="宋体"/>
          <w:b/>
          <w:bCs/>
          <w:kern w:val="0"/>
          <w:sz w:val="20"/>
          <w:szCs w:val="20"/>
        </w:rPr>
        <w:t>’</w:t>
      </w:r>
      <w:r>
        <w:rPr>
          <w:rFonts w:eastAsia="宋体" w:hint="eastAsia"/>
          <w:b/>
          <w:bCs/>
          <w:kern w:val="0"/>
          <w:sz w:val="20"/>
          <w:szCs w:val="20"/>
        </w:rPr>
        <w:t xml:space="preserve">, or </w:t>
      </w:r>
      <w:r>
        <w:rPr>
          <w:rFonts w:eastAsia="宋体"/>
          <w:b/>
          <w:bCs/>
          <w:kern w:val="0"/>
          <w:sz w:val="20"/>
          <w:szCs w:val="20"/>
        </w:rPr>
        <w:t>‘</w:t>
      </w:r>
      <w:r>
        <w:rPr>
          <w:rFonts w:eastAsia="宋体" w:hint="eastAsia"/>
          <w:b/>
          <w:bCs/>
          <w:kern w:val="0"/>
          <w:sz w:val="20"/>
          <w:szCs w:val="20"/>
        </w:rPr>
        <w:t>both</w:t>
      </w:r>
      <w:r>
        <w:rPr>
          <w:rFonts w:eastAsia="宋体"/>
          <w:b/>
          <w:bCs/>
          <w:kern w:val="0"/>
          <w:sz w:val="20"/>
          <w:szCs w:val="20"/>
        </w:rPr>
        <w:t>’</w:t>
      </w:r>
      <w:r>
        <w:rPr>
          <w:rFonts w:eastAsia="宋体" w:hint="eastAsia"/>
          <w:b/>
          <w:bCs/>
          <w:kern w:val="0"/>
          <w:sz w:val="20"/>
          <w:szCs w:val="20"/>
        </w:rPr>
        <w:t>, FFS on signalling design.</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For the neighboring frequency supporting both non-RedCap and RedCap UE, the NW may prefer it has different cell reselection priority for non-RedCap and RedCap UE. The network should be able to configure frequency </w:t>
      </w:r>
      <w:r>
        <w:rPr>
          <w:rFonts w:eastAsia="等线" w:hint="eastAsia"/>
          <w:kern w:val="0"/>
          <w:sz w:val="20"/>
          <w:szCs w:val="20"/>
        </w:rPr>
        <w:t>priority for cell reselection for non-RedCap UE and RedCap UE separately.</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5: For a given inter-frequency, network can configure separate cell reselection priorities for Redcap UEs and non-Redcap UEs. </w:t>
      </w:r>
    </w:p>
    <w:p w:rsidR="00FF43E6" w:rsidRDefault="003155C6">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lastRenderedPageBreak/>
        <w:t>Initial BWP issue</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In co-exist deployment where</w:t>
      </w:r>
      <w:r>
        <w:rPr>
          <w:rFonts w:eastAsia="等线" w:hint="eastAsia"/>
          <w:kern w:val="0"/>
          <w:sz w:val="20"/>
          <w:szCs w:val="20"/>
        </w:rPr>
        <w:t xml:space="preserve"> both non-RedCap UE and RedCap UE access are allowed, one issue is whether the initial downlink/uplink BWP can be configured with bandwidth larger than RedCap UE</w:t>
      </w:r>
      <w:r>
        <w:rPr>
          <w:rFonts w:eastAsia="等线"/>
          <w:kern w:val="0"/>
          <w:sz w:val="20"/>
          <w:szCs w:val="20"/>
        </w:rPr>
        <w:t>’</w:t>
      </w:r>
      <w:r>
        <w:rPr>
          <w:rFonts w:eastAsia="等线" w:hint="eastAsia"/>
          <w:kern w:val="0"/>
          <w:sz w:val="20"/>
          <w:szCs w:val="20"/>
        </w:rPr>
        <w:t>s minimal bandwidth requirement.</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In current NR specification, UE considers a cell as barred if</w:t>
      </w:r>
      <w:r>
        <w:rPr>
          <w:rFonts w:eastAsia="等线" w:hint="eastAsia"/>
          <w:kern w:val="0"/>
          <w:sz w:val="20"/>
          <w:szCs w:val="20"/>
        </w:rPr>
        <w:t xml:space="preserve"> it cannot support the bandwidth of initial BWP. The intention of this principle is to </w:t>
      </w:r>
      <w:r>
        <w:rPr>
          <w:rFonts w:eastAsia="等线"/>
          <w:kern w:val="0"/>
          <w:sz w:val="20"/>
          <w:szCs w:val="20"/>
        </w:rPr>
        <w:t>ensure</w:t>
      </w:r>
      <w:r>
        <w:rPr>
          <w:rFonts w:eastAsia="等线" w:hint="eastAsia"/>
          <w:kern w:val="0"/>
          <w:sz w:val="20"/>
          <w:szCs w:val="20"/>
        </w:rPr>
        <w:t xml:space="preserve"> the UE can support at least the bandwidth of initial BWP before UE capabilities are acquired. If this principle is applied to RedCap UE, the NW has to configure t</w:t>
      </w:r>
      <w:r>
        <w:rPr>
          <w:rFonts w:eastAsia="等线" w:hint="eastAsia"/>
          <w:kern w:val="0"/>
          <w:sz w:val="20"/>
          <w:szCs w:val="20"/>
        </w:rPr>
        <w:t>he initial BWP with bandwidth no larger than RedCap</w:t>
      </w:r>
      <w:r>
        <w:rPr>
          <w:rFonts w:eastAsia="等线"/>
          <w:kern w:val="0"/>
          <w:sz w:val="20"/>
          <w:szCs w:val="20"/>
        </w:rPr>
        <w:t>’</w:t>
      </w:r>
      <w:r>
        <w:rPr>
          <w:rFonts w:eastAsia="等线" w:hint="eastAsia"/>
          <w:kern w:val="0"/>
          <w:sz w:val="20"/>
          <w:szCs w:val="20"/>
        </w:rPr>
        <w:t>s minimal requirement, e.g. 20M for FR1 and 100M for FR2.</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For UE in RRC idle, initial BWP is used for scheduling of SIB1/other SI message, paging, and RACH procedure. For UE in RRC connected, initial BWP </w:t>
      </w:r>
      <w:r>
        <w:rPr>
          <w:rFonts w:eastAsia="等线" w:hint="eastAsia"/>
          <w:kern w:val="0"/>
          <w:sz w:val="20"/>
          <w:szCs w:val="20"/>
        </w:rPr>
        <w:t xml:space="preserve">serves as fallback BWP when BWP inactivity timer expires and default BWP is not configured. </w:t>
      </w:r>
      <w:r>
        <w:rPr>
          <w:rStyle w:val="afc"/>
          <w:rFonts w:eastAsia="等线" w:hint="eastAsia"/>
          <w:sz w:val="20"/>
          <w:szCs w:val="20"/>
        </w:rPr>
        <w:t>I</w:t>
      </w:r>
      <w:r>
        <w:rPr>
          <w:rFonts w:eastAsia="等线" w:hint="eastAsia"/>
          <w:kern w:val="0"/>
          <w:sz w:val="20"/>
          <w:szCs w:val="20"/>
        </w:rPr>
        <w:t xml:space="preserve">f the bandwidth of initial BWP </w:t>
      </w:r>
      <w:r>
        <w:rPr>
          <w:rFonts w:eastAsia="等线" w:hint="eastAsia"/>
          <w:kern w:val="0"/>
          <w:sz w:val="20"/>
          <w:szCs w:val="20"/>
        </w:rPr>
        <w:t>is</w:t>
      </w:r>
      <w:r>
        <w:rPr>
          <w:rFonts w:eastAsia="等线"/>
          <w:kern w:val="0"/>
          <w:sz w:val="20"/>
          <w:szCs w:val="20"/>
        </w:rPr>
        <w:t xml:space="preserve"> reduced</w:t>
      </w:r>
      <w:r>
        <w:rPr>
          <w:rFonts w:eastAsia="等线" w:hint="eastAsia"/>
          <w:kern w:val="0"/>
          <w:sz w:val="20"/>
          <w:szCs w:val="20"/>
        </w:rPr>
        <w:t xml:space="preserve"> due to RedCap UE, </w:t>
      </w:r>
      <w:r>
        <w:rPr>
          <w:rFonts w:eastAsia="等线"/>
          <w:kern w:val="0"/>
          <w:sz w:val="20"/>
          <w:szCs w:val="20"/>
        </w:rPr>
        <w:t>non-Redcap UE who wants to use large bandwidth needs to do BWP switching to another BWP after initial a</w:t>
      </w:r>
      <w:r>
        <w:rPr>
          <w:rFonts w:eastAsia="等线"/>
          <w:kern w:val="0"/>
          <w:sz w:val="20"/>
          <w:szCs w:val="20"/>
        </w:rPr>
        <w:t>ccess</w:t>
      </w:r>
      <w:r>
        <w:rPr>
          <w:rFonts w:eastAsia="等线" w:hint="eastAsia"/>
          <w:kern w:val="0"/>
          <w:sz w:val="20"/>
          <w:szCs w:val="20"/>
        </w:rPr>
        <w:t xml:space="preserve">. Therefore </w:t>
      </w:r>
      <w:r>
        <w:rPr>
          <w:rFonts w:eastAsia="等线"/>
          <w:kern w:val="0"/>
          <w:sz w:val="20"/>
          <w:szCs w:val="20"/>
        </w:rPr>
        <w:t xml:space="preserve">the </w:t>
      </w:r>
      <w:r>
        <w:rPr>
          <w:rFonts w:eastAsia="等线" w:hint="eastAsia"/>
          <w:kern w:val="0"/>
          <w:sz w:val="20"/>
          <w:szCs w:val="20"/>
        </w:rPr>
        <w:t xml:space="preserve">performance </w:t>
      </w:r>
      <w:r>
        <w:rPr>
          <w:rFonts w:eastAsia="等线" w:hint="eastAsia"/>
          <w:kern w:val="0"/>
          <w:sz w:val="20"/>
          <w:szCs w:val="20"/>
        </w:rPr>
        <w:t xml:space="preserve">of </w:t>
      </w:r>
      <w:r>
        <w:rPr>
          <w:rFonts w:eastAsia="等线" w:hint="eastAsia"/>
          <w:kern w:val="0"/>
          <w:sz w:val="20"/>
          <w:szCs w:val="20"/>
        </w:rPr>
        <w:t>non-RedCap UE will be sacrificed</w:t>
      </w:r>
      <w:r>
        <w:rPr>
          <w:rFonts w:eastAsia="等线" w:hint="eastAsia"/>
          <w:kern w:val="0"/>
          <w:sz w:val="20"/>
          <w:szCs w:val="20"/>
        </w:rPr>
        <w:t>.</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Observation 1: Limiting initial BWP bandwidth to be smaller than RedCap UE</w:t>
      </w:r>
      <w:r>
        <w:rPr>
          <w:rFonts w:eastAsia="宋体"/>
          <w:b/>
          <w:bCs/>
          <w:kern w:val="0"/>
          <w:sz w:val="20"/>
          <w:szCs w:val="20"/>
        </w:rPr>
        <w:t>’</w:t>
      </w:r>
      <w:r>
        <w:rPr>
          <w:rFonts w:eastAsia="宋体" w:hint="eastAsia"/>
          <w:b/>
          <w:bCs/>
          <w:kern w:val="0"/>
          <w:sz w:val="20"/>
          <w:szCs w:val="20"/>
        </w:rPr>
        <w:t>s minimal bandwidth requirement will sacrifice non-RedCap UE</w:t>
      </w:r>
      <w:r>
        <w:rPr>
          <w:rFonts w:eastAsia="宋体"/>
          <w:b/>
          <w:bCs/>
          <w:kern w:val="0"/>
          <w:sz w:val="20"/>
          <w:szCs w:val="20"/>
        </w:rPr>
        <w:t>’</w:t>
      </w:r>
      <w:r>
        <w:rPr>
          <w:rFonts w:eastAsia="宋体" w:hint="eastAsia"/>
          <w:b/>
          <w:bCs/>
          <w:kern w:val="0"/>
          <w:sz w:val="20"/>
          <w:szCs w:val="20"/>
        </w:rPr>
        <w:t>s performance.</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To avoid such impact, it is preferr</w:t>
      </w:r>
      <w:r>
        <w:rPr>
          <w:rFonts w:eastAsia="等线" w:hint="eastAsia"/>
          <w:kern w:val="0"/>
          <w:sz w:val="20"/>
          <w:szCs w:val="20"/>
        </w:rPr>
        <w:t>ed the network can configure initial BWP for non-RedCap UE with bandwidth larger than RedCap UE</w:t>
      </w:r>
      <w:r>
        <w:rPr>
          <w:rFonts w:eastAsia="等线"/>
          <w:kern w:val="0"/>
          <w:sz w:val="20"/>
          <w:szCs w:val="20"/>
        </w:rPr>
        <w:t>’</w:t>
      </w:r>
      <w:r>
        <w:rPr>
          <w:rFonts w:eastAsia="等线" w:hint="eastAsia"/>
          <w:kern w:val="0"/>
          <w:sz w:val="20"/>
          <w:szCs w:val="20"/>
        </w:rPr>
        <w:t>s minimal bandwidth requirement in co-exist deployment.</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6: In the cell allows RedCap UE access, the NW is able to configure initial BWP for non-RedCap </w:t>
      </w:r>
      <w:r>
        <w:rPr>
          <w:rFonts w:eastAsia="宋体" w:hint="eastAsia"/>
          <w:b/>
          <w:bCs/>
          <w:kern w:val="0"/>
          <w:sz w:val="20"/>
          <w:szCs w:val="20"/>
        </w:rPr>
        <w:t>UE with bandwidth larger than RedCap UE</w:t>
      </w:r>
      <w:r>
        <w:rPr>
          <w:rFonts w:eastAsia="宋体"/>
          <w:b/>
          <w:bCs/>
          <w:kern w:val="0"/>
          <w:sz w:val="20"/>
          <w:szCs w:val="20"/>
        </w:rPr>
        <w:t>’</w:t>
      </w:r>
      <w:r>
        <w:rPr>
          <w:rFonts w:eastAsia="宋体" w:hint="eastAsia"/>
          <w:b/>
          <w:bCs/>
          <w:kern w:val="0"/>
          <w:sz w:val="20"/>
          <w:szCs w:val="20"/>
        </w:rPr>
        <w:t>s minimal bandwidth requirement.</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If RedCap UE is allowed to access the cell configure with initial BWP larger than its minimal bandwidth requirement, there are two options to go.</w:t>
      </w:r>
    </w:p>
    <w:p w:rsidR="00FF43E6" w:rsidRDefault="003155C6">
      <w:pPr>
        <w:widowControl/>
        <w:overflowPunct w:val="0"/>
        <w:autoSpaceDE w:val="0"/>
        <w:autoSpaceDN w:val="0"/>
        <w:spacing w:after="120" w:line="240" w:lineRule="auto"/>
        <w:rPr>
          <w:rFonts w:eastAsia="等线"/>
          <w:kern w:val="0"/>
          <w:sz w:val="20"/>
          <w:szCs w:val="20"/>
          <w:u w:val="single"/>
        </w:rPr>
      </w:pPr>
      <w:r>
        <w:rPr>
          <w:rFonts w:eastAsia="等线" w:hint="eastAsia"/>
          <w:kern w:val="0"/>
          <w:sz w:val="20"/>
          <w:szCs w:val="20"/>
          <w:u w:val="single"/>
        </w:rPr>
        <w:t>Option1: To configure RedCap specific</w:t>
      </w:r>
      <w:r>
        <w:rPr>
          <w:rFonts w:eastAsia="等线" w:hint="eastAsia"/>
          <w:kern w:val="0"/>
          <w:sz w:val="20"/>
          <w:szCs w:val="20"/>
          <w:u w:val="single"/>
        </w:rPr>
        <w:t xml:space="preserve"> initial BWP via SIB1.</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This option is straightforward. Network configures RedCap specific initial BWP via SIB1 taking RedCap UE</w:t>
      </w:r>
      <w:r>
        <w:rPr>
          <w:rFonts w:eastAsia="等线"/>
          <w:kern w:val="0"/>
          <w:sz w:val="20"/>
          <w:szCs w:val="20"/>
        </w:rPr>
        <w:t>’</w:t>
      </w:r>
      <w:r>
        <w:rPr>
          <w:rFonts w:eastAsia="等线" w:hint="eastAsia"/>
          <w:kern w:val="0"/>
          <w:sz w:val="20"/>
          <w:szCs w:val="20"/>
        </w:rPr>
        <w:t>s minimal bandwidth requirement into consideration. It may include PRACH configuration dedicated for RedCap UE, search space for</w:t>
      </w:r>
      <w:r>
        <w:rPr>
          <w:rFonts w:eastAsia="等线" w:hint="eastAsia"/>
          <w:kern w:val="0"/>
          <w:sz w:val="20"/>
          <w:szCs w:val="20"/>
        </w:rPr>
        <w:t xml:space="preserve"> RACH, paging and other SI although search space for other SI will be most possibly the same as non-RedCap UE</w:t>
      </w:r>
      <w:r>
        <w:rPr>
          <w:rFonts w:eastAsia="等线"/>
          <w:kern w:val="0"/>
          <w:sz w:val="20"/>
          <w:szCs w:val="20"/>
        </w:rPr>
        <w:t>’</w:t>
      </w:r>
      <w:r>
        <w:rPr>
          <w:rFonts w:eastAsia="等线" w:hint="eastAsia"/>
          <w:kern w:val="0"/>
          <w:sz w:val="20"/>
          <w:szCs w:val="20"/>
        </w:rPr>
        <w:t>s. RedCap UE apply this RedCap UE specific initial BWP in RRC idle, during initial access and in RRC connected mode. UE identification is achieved</w:t>
      </w:r>
      <w:r>
        <w:rPr>
          <w:rFonts w:eastAsia="等线" w:hint="eastAsia"/>
          <w:kern w:val="0"/>
          <w:sz w:val="20"/>
          <w:szCs w:val="20"/>
        </w:rPr>
        <w:t xml:space="preserve"> on msg1 naturally due to </w:t>
      </w:r>
      <w:r>
        <w:rPr>
          <w:rFonts w:eastAsia="等线" w:hint="eastAsia"/>
          <w:kern w:val="0"/>
          <w:sz w:val="20"/>
          <w:szCs w:val="20"/>
        </w:rPr>
        <w:t xml:space="preserve">the </w:t>
      </w:r>
      <w:r>
        <w:rPr>
          <w:rFonts w:eastAsia="等线" w:hint="eastAsia"/>
          <w:kern w:val="0"/>
          <w:sz w:val="20"/>
          <w:szCs w:val="20"/>
        </w:rPr>
        <w:t>PRACH configuration configured for the uplink initial BWP.</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The drawback of this option is the additional signaling overhead to SIB1</w:t>
      </w:r>
      <w:r>
        <w:rPr>
          <w:rFonts w:eastAsia="等线" w:hint="eastAsia"/>
          <w:kern w:val="0"/>
          <w:sz w:val="20"/>
          <w:szCs w:val="20"/>
        </w:rPr>
        <w:t xml:space="preserve"> </w:t>
      </w:r>
      <w:r>
        <w:rPr>
          <w:rFonts w:eastAsia="等线" w:hint="eastAsia"/>
          <w:kern w:val="0"/>
          <w:sz w:val="20"/>
          <w:szCs w:val="20"/>
        </w:rPr>
        <w:t>if SIB1 is shared for both RedCap UE and non-RedCap UE.</w:t>
      </w:r>
    </w:p>
    <w:p w:rsidR="00FF43E6" w:rsidRDefault="003155C6">
      <w:pPr>
        <w:widowControl/>
        <w:overflowPunct w:val="0"/>
        <w:autoSpaceDE w:val="0"/>
        <w:autoSpaceDN w:val="0"/>
        <w:spacing w:after="120" w:line="240" w:lineRule="auto"/>
        <w:rPr>
          <w:rFonts w:eastAsia="等线"/>
          <w:kern w:val="0"/>
          <w:sz w:val="20"/>
          <w:szCs w:val="20"/>
          <w:u w:val="single"/>
        </w:rPr>
      </w:pPr>
      <w:r>
        <w:rPr>
          <w:rFonts w:eastAsia="等线" w:hint="eastAsia"/>
          <w:kern w:val="0"/>
          <w:sz w:val="20"/>
          <w:szCs w:val="20"/>
          <w:u w:val="single"/>
        </w:rPr>
        <w:t xml:space="preserve">Option 2: </w:t>
      </w:r>
      <w:r>
        <w:rPr>
          <w:rFonts w:eastAsia="等线"/>
          <w:kern w:val="0"/>
          <w:sz w:val="20"/>
          <w:szCs w:val="20"/>
          <w:u w:val="single"/>
        </w:rPr>
        <w:t xml:space="preserve">Does not apply the initial </w:t>
      </w:r>
      <w:r>
        <w:rPr>
          <w:rFonts w:eastAsia="等线"/>
          <w:kern w:val="0"/>
          <w:sz w:val="20"/>
          <w:szCs w:val="20"/>
          <w:u w:val="single"/>
        </w:rPr>
        <w:t>BWP bandwidth based “cell barring” evaluation for Redcap UE, and network update the BWP configuration in Msg4</w:t>
      </w:r>
      <w:r>
        <w:rPr>
          <w:rFonts w:eastAsia="等线" w:hint="eastAsia"/>
          <w:kern w:val="0"/>
          <w:sz w:val="20"/>
          <w:szCs w:val="20"/>
          <w:u w:val="single"/>
        </w:rPr>
        <w:t>.</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In this option, </w:t>
      </w:r>
      <w:r>
        <w:rPr>
          <w:rFonts w:eastAsia="等线" w:hint="eastAsia"/>
          <w:kern w:val="0"/>
          <w:sz w:val="20"/>
          <w:szCs w:val="20"/>
        </w:rPr>
        <w:t>RedCap UE does not consider the cell barred if the bandwidth of initial BWP currently configured in SIB1 is larger than RedCap UE</w:t>
      </w:r>
      <w:r>
        <w:rPr>
          <w:rFonts w:eastAsia="等线"/>
          <w:kern w:val="0"/>
          <w:sz w:val="20"/>
          <w:szCs w:val="20"/>
        </w:rPr>
        <w:t>’</w:t>
      </w:r>
      <w:r>
        <w:rPr>
          <w:rFonts w:eastAsia="等线" w:hint="eastAsia"/>
          <w:kern w:val="0"/>
          <w:sz w:val="20"/>
          <w:szCs w:val="20"/>
        </w:rPr>
        <w:t xml:space="preserve">s minimal requirement. And before msg4, </w:t>
      </w:r>
      <w:r>
        <w:rPr>
          <w:rFonts w:eastAsia="等线" w:hint="eastAsia"/>
          <w:kern w:val="0"/>
          <w:sz w:val="20"/>
          <w:szCs w:val="20"/>
        </w:rPr>
        <w:t xml:space="preserve">RedCap UE </w:t>
      </w:r>
      <w:r>
        <w:rPr>
          <w:rFonts w:eastAsia="等线" w:hint="eastAsia"/>
          <w:kern w:val="0"/>
          <w:sz w:val="20"/>
          <w:szCs w:val="20"/>
        </w:rPr>
        <w:t>perform initial access with this initial BWP</w:t>
      </w:r>
      <w:r>
        <w:rPr>
          <w:rFonts w:eastAsia="等线" w:hint="eastAsia"/>
          <w:kern w:val="0"/>
          <w:sz w:val="20"/>
          <w:szCs w:val="20"/>
        </w:rPr>
        <w:t>.</w:t>
      </w:r>
      <w:r>
        <w:rPr>
          <w:rFonts w:eastAsia="等线" w:hint="eastAsia"/>
          <w:kern w:val="0"/>
          <w:sz w:val="20"/>
          <w:szCs w:val="20"/>
        </w:rPr>
        <w:t xml:space="preserve"> The NW can update the BWP configuration in msg4 which is used in RRC connected.</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A</w:t>
      </w:r>
      <w:r>
        <w:rPr>
          <w:rFonts w:eastAsia="等线" w:hint="eastAsia"/>
          <w:kern w:val="0"/>
          <w:sz w:val="20"/>
          <w:szCs w:val="20"/>
        </w:rPr>
        <w:t>ccording current RAN1 progress, the RedCap UE</w:t>
      </w:r>
      <w:r>
        <w:rPr>
          <w:rFonts w:eastAsia="等线"/>
          <w:kern w:val="0"/>
          <w:sz w:val="20"/>
          <w:szCs w:val="20"/>
        </w:rPr>
        <w:t>’</w:t>
      </w:r>
      <w:r>
        <w:rPr>
          <w:rFonts w:eastAsia="等线" w:hint="eastAsia"/>
          <w:kern w:val="0"/>
          <w:sz w:val="20"/>
          <w:szCs w:val="20"/>
        </w:rPr>
        <w:t xml:space="preserve">s minimal bandwidth requirement </w:t>
      </w:r>
      <w:r>
        <w:rPr>
          <w:rFonts w:eastAsia="等线" w:hint="eastAsia"/>
          <w:kern w:val="0"/>
          <w:sz w:val="20"/>
          <w:szCs w:val="20"/>
        </w:rPr>
        <w:t>are larger than the largest CORSET#0 bandwidth.</w:t>
      </w:r>
      <w:r>
        <w:rPr>
          <w:rFonts w:eastAsia="等线" w:hint="eastAsia"/>
          <w:kern w:val="0"/>
          <w:sz w:val="20"/>
          <w:szCs w:val="20"/>
        </w:rPr>
        <w:t xml:space="preserve"> Thus there is no problem for downlink scheduling before msg4 since </w:t>
      </w:r>
      <w:r>
        <w:rPr>
          <w:rFonts w:eastAsia="等线" w:hint="eastAsia"/>
          <w:kern w:val="0"/>
          <w:sz w:val="20"/>
          <w:szCs w:val="20"/>
        </w:rPr>
        <w:t xml:space="preserve">SIB1, other SI, paging and msg2/msg4 </w:t>
      </w:r>
      <w:r>
        <w:rPr>
          <w:rFonts w:eastAsia="等线" w:hint="eastAsia"/>
          <w:kern w:val="0"/>
          <w:sz w:val="20"/>
          <w:szCs w:val="20"/>
        </w:rPr>
        <w:t xml:space="preserve">are scheduled </w:t>
      </w:r>
      <w:r>
        <w:rPr>
          <w:rFonts w:eastAsia="等线" w:hint="eastAsia"/>
          <w:kern w:val="0"/>
          <w:sz w:val="20"/>
          <w:szCs w:val="20"/>
        </w:rPr>
        <w:t xml:space="preserve">within the bandwidth of CORSET#0. </w:t>
      </w:r>
      <w:r>
        <w:rPr>
          <w:rFonts w:eastAsia="等线" w:hint="eastAsia"/>
          <w:kern w:val="0"/>
          <w:sz w:val="20"/>
          <w:szCs w:val="20"/>
        </w:rPr>
        <w:t xml:space="preserve">However because </w:t>
      </w:r>
      <w:r>
        <w:rPr>
          <w:rFonts w:eastAsia="等线" w:hint="eastAsia"/>
          <w:kern w:val="0"/>
          <w:sz w:val="20"/>
          <w:szCs w:val="20"/>
        </w:rPr>
        <w:t>msg3 is scheduled within</w:t>
      </w:r>
      <w:r>
        <w:rPr>
          <w:rFonts w:eastAsia="等线" w:hint="eastAsia"/>
          <w:kern w:val="0"/>
          <w:sz w:val="20"/>
          <w:szCs w:val="20"/>
        </w:rPr>
        <w:t xml:space="preserve"> the bandwidth o</w:t>
      </w:r>
      <w:r>
        <w:rPr>
          <w:rFonts w:eastAsia="等线" w:hint="eastAsia"/>
          <w:kern w:val="0"/>
          <w:sz w:val="20"/>
          <w:szCs w:val="20"/>
        </w:rPr>
        <w:t xml:space="preserve">f </w:t>
      </w:r>
      <w:r>
        <w:rPr>
          <w:rFonts w:eastAsia="等线" w:hint="eastAsia"/>
          <w:kern w:val="0"/>
          <w:sz w:val="20"/>
          <w:szCs w:val="20"/>
        </w:rPr>
        <w:t>initial uplink BWP</w:t>
      </w:r>
      <w:r>
        <w:rPr>
          <w:rFonts w:eastAsia="等线" w:hint="eastAsia"/>
          <w:kern w:val="0"/>
          <w:sz w:val="20"/>
          <w:szCs w:val="20"/>
        </w:rPr>
        <w:t>, type</w:t>
      </w:r>
      <w:r>
        <w:rPr>
          <w:rFonts w:eastAsia="等线" w:hint="eastAsia"/>
          <w:kern w:val="0"/>
          <w:sz w:val="20"/>
          <w:szCs w:val="20"/>
        </w:rPr>
        <w:t xml:space="preserve"> identified </w:t>
      </w:r>
      <w:r>
        <w:rPr>
          <w:rFonts w:eastAsia="等线" w:hint="eastAsia"/>
          <w:kern w:val="0"/>
          <w:sz w:val="20"/>
          <w:szCs w:val="20"/>
        </w:rPr>
        <w:t xml:space="preserve">should be done </w:t>
      </w:r>
      <w:r>
        <w:rPr>
          <w:rFonts w:eastAsia="等线" w:hint="eastAsia"/>
          <w:kern w:val="0"/>
          <w:sz w:val="20"/>
          <w:szCs w:val="20"/>
        </w:rPr>
        <w:t>before msg3.</w:t>
      </w:r>
      <w:r>
        <w:rPr>
          <w:rFonts w:eastAsia="等线" w:hint="eastAsia"/>
          <w:kern w:val="0"/>
          <w:sz w:val="20"/>
          <w:szCs w:val="20"/>
        </w:rPr>
        <w:t xml:space="preserve"> </w:t>
      </w:r>
      <w:r>
        <w:rPr>
          <w:rFonts w:eastAsia="等线" w:hint="eastAsia"/>
          <w:kern w:val="0"/>
          <w:sz w:val="20"/>
          <w:szCs w:val="20"/>
        </w:rPr>
        <w:t xml:space="preserve">This can be </w:t>
      </w:r>
      <w:r>
        <w:rPr>
          <w:rFonts w:eastAsia="等线" w:hint="eastAsia"/>
          <w:kern w:val="0"/>
          <w:sz w:val="20"/>
          <w:szCs w:val="20"/>
        </w:rPr>
        <w:t>achieved</w:t>
      </w:r>
      <w:r>
        <w:rPr>
          <w:rFonts w:eastAsia="等线" w:hint="eastAsia"/>
          <w:kern w:val="0"/>
          <w:sz w:val="20"/>
          <w:szCs w:val="20"/>
        </w:rPr>
        <w:t xml:space="preserve"> by separate PRACH resources or preamble partition as captured in current TR.</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lastRenderedPageBreak/>
        <w:t>If RedCap UE is identified before msg3, the NW can configure</w:t>
      </w:r>
      <w:r>
        <w:rPr>
          <w:rFonts w:eastAsia="等线" w:hint="eastAsia"/>
          <w:kern w:val="0"/>
          <w:sz w:val="20"/>
          <w:szCs w:val="20"/>
        </w:rPr>
        <w:t xml:space="preserve"> </w:t>
      </w:r>
      <w:r>
        <w:rPr>
          <w:rFonts w:eastAsia="等线" w:hint="eastAsia"/>
          <w:kern w:val="0"/>
          <w:sz w:val="20"/>
          <w:szCs w:val="20"/>
        </w:rPr>
        <w:t>proper bandwidth for other BWPs</w:t>
      </w:r>
      <w:r>
        <w:rPr>
          <w:rFonts w:eastAsia="等线" w:hint="eastAsia"/>
          <w:kern w:val="0"/>
          <w:sz w:val="20"/>
          <w:szCs w:val="20"/>
        </w:rPr>
        <w:t xml:space="preserve"> </w:t>
      </w:r>
      <w:r>
        <w:rPr>
          <w:rFonts w:eastAsia="等线" w:hint="eastAsia"/>
          <w:kern w:val="0"/>
          <w:sz w:val="20"/>
          <w:szCs w:val="20"/>
        </w:rPr>
        <w:t xml:space="preserve">which are </w:t>
      </w:r>
      <w:r>
        <w:rPr>
          <w:rFonts w:eastAsia="等线" w:hint="eastAsia"/>
          <w:kern w:val="0"/>
          <w:sz w:val="20"/>
          <w:szCs w:val="20"/>
        </w:rPr>
        <w:t>used in RRC connected mode</w:t>
      </w:r>
      <w:r>
        <w:rPr>
          <w:rFonts w:eastAsia="等线" w:hint="eastAsia"/>
          <w:kern w:val="0"/>
          <w:sz w:val="20"/>
          <w:szCs w:val="20"/>
        </w:rPr>
        <w:t xml:space="preserve"> via</w:t>
      </w:r>
      <w:r>
        <w:rPr>
          <w:rFonts w:eastAsia="等线" w:hint="eastAsia"/>
          <w:kern w:val="0"/>
          <w:sz w:val="20"/>
          <w:szCs w:val="20"/>
        </w:rPr>
        <w:t xml:space="preserve"> msg</w:t>
      </w:r>
      <w:r>
        <w:rPr>
          <w:rFonts w:eastAsia="等线" w:hint="eastAsia"/>
          <w:kern w:val="0"/>
          <w:sz w:val="20"/>
          <w:szCs w:val="20"/>
        </w:rPr>
        <w:t xml:space="preserve">4. The BWPs can </w:t>
      </w:r>
      <w:r>
        <w:rPr>
          <w:rFonts w:eastAsia="等线" w:hint="eastAsia"/>
          <w:kern w:val="0"/>
          <w:sz w:val="20"/>
          <w:szCs w:val="20"/>
        </w:rPr>
        <w:t>includ</w:t>
      </w:r>
      <w:r>
        <w:rPr>
          <w:rFonts w:eastAsia="等线" w:hint="eastAsia"/>
          <w:kern w:val="0"/>
          <w:sz w:val="20"/>
          <w:szCs w:val="20"/>
        </w:rPr>
        <w:t>e</w:t>
      </w:r>
      <w:r>
        <w:rPr>
          <w:rFonts w:eastAsia="等线" w:hint="eastAsia"/>
          <w:kern w:val="0"/>
          <w:sz w:val="20"/>
          <w:szCs w:val="20"/>
        </w:rPr>
        <w:t xml:space="preserve"> a RedCap specific initial BWP </w:t>
      </w:r>
      <w:r>
        <w:rPr>
          <w:rFonts w:eastAsia="等线" w:hint="eastAsia"/>
          <w:kern w:val="0"/>
          <w:sz w:val="20"/>
          <w:szCs w:val="20"/>
        </w:rPr>
        <w:t xml:space="preserve">if needed. </w:t>
      </w:r>
      <w:r>
        <w:rPr>
          <w:rFonts w:eastAsia="等线" w:hint="eastAsia"/>
          <w:kern w:val="0"/>
          <w:sz w:val="20"/>
          <w:szCs w:val="20"/>
        </w:rPr>
        <w:t>And the NW can schedule RedCap UE on the initial BWP properly since the NW is already aware of UE</w:t>
      </w:r>
      <w:r>
        <w:rPr>
          <w:rFonts w:eastAsia="等线"/>
          <w:kern w:val="0"/>
          <w:sz w:val="20"/>
          <w:szCs w:val="20"/>
        </w:rPr>
        <w:t>’</w:t>
      </w:r>
      <w:r>
        <w:rPr>
          <w:rFonts w:eastAsia="等线" w:hint="eastAsia"/>
          <w:kern w:val="0"/>
          <w:sz w:val="20"/>
          <w:szCs w:val="20"/>
        </w:rPr>
        <w:t>s capabilities in this stage.</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This option brings</w:t>
      </w:r>
      <w:r>
        <w:rPr>
          <w:rFonts w:eastAsia="等线" w:hint="eastAsia"/>
          <w:kern w:val="0"/>
          <w:sz w:val="20"/>
          <w:szCs w:val="20"/>
        </w:rPr>
        <w:t xml:space="preserve"> a benefit in SIB1 signaling overhead since there is no need to configure RedCap specific initial BWP within SIB1. And the RedCap specific configuration for initial BWP can be updated via msg4 if needed.</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7: </w:t>
      </w:r>
      <w:r>
        <w:rPr>
          <w:rFonts w:eastAsia="宋体" w:hint="eastAsia"/>
          <w:b/>
          <w:bCs/>
          <w:kern w:val="0"/>
          <w:sz w:val="20"/>
          <w:szCs w:val="20"/>
        </w:rPr>
        <w:t>To reflect following</w:t>
      </w:r>
      <w:r>
        <w:rPr>
          <w:rFonts w:eastAsia="宋体" w:hint="eastAsia"/>
          <w:b/>
          <w:bCs/>
          <w:kern w:val="0"/>
          <w:sz w:val="20"/>
          <w:szCs w:val="20"/>
        </w:rPr>
        <w:t xml:space="preserve"> two options</w:t>
      </w:r>
      <w:r>
        <w:rPr>
          <w:rFonts w:eastAsia="宋体" w:hint="eastAsia"/>
          <w:b/>
          <w:bCs/>
          <w:kern w:val="0"/>
          <w:sz w:val="20"/>
          <w:szCs w:val="20"/>
        </w:rPr>
        <w:t xml:space="preserve"> regarding initial BWP in the TR</w:t>
      </w:r>
      <w:r>
        <w:rPr>
          <w:rFonts w:eastAsia="宋体" w:hint="eastAsia"/>
          <w:b/>
          <w:bCs/>
          <w:kern w:val="0"/>
          <w:sz w:val="20"/>
          <w:szCs w:val="20"/>
        </w:rPr>
        <w:t>:</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Option</w:t>
      </w:r>
      <w:r w:rsidR="00495D12">
        <w:rPr>
          <w:rFonts w:eastAsia="宋体"/>
          <w:b/>
          <w:bCs/>
          <w:kern w:val="0"/>
          <w:sz w:val="20"/>
          <w:szCs w:val="20"/>
        </w:rPr>
        <w:t xml:space="preserve"> </w:t>
      </w:r>
      <w:r>
        <w:rPr>
          <w:rFonts w:eastAsia="宋体" w:hint="eastAsia"/>
          <w:b/>
          <w:bCs/>
          <w:kern w:val="0"/>
          <w:sz w:val="20"/>
          <w:szCs w:val="20"/>
        </w:rPr>
        <w:t>1: To configure RedCap specific initial BWP via SIB1.</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等线"/>
          <w:b/>
          <w:bCs/>
          <w:kern w:val="0"/>
          <w:sz w:val="20"/>
          <w:szCs w:val="20"/>
        </w:rPr>
      </w:pPr>
      <w:r>
        <w:rPr>
          <w:rFonts w:eastAsia="宋体" w:hint="eastAsia"/>
          <w:b/>
          <w:bCs/>
          <w:kern w:val="0"/>
          <w:sz w:val="20"/>
          <w:szCs w:val="20"/>
        </w:rPr>
        <w:t xml:space="preserve">Option 2: Does not apply the initial BWP bandwidth based </w:t>
      </w:r>
      <w:r>
        <w:rPr>
          <w:rFonts w:eastAsia="宋体"/>
          <w:b/>
          <w:bCs/>
          <w:kern w:val="0"/>
          <w:sz w:val="20"/>
          <w:szCs w:val="20"/>
        </w:rPr>
        <w:t>“</w:t>
      </w:r>
      <w:r>
        <w:rPr>
          <w:rFonts w:eastAsia="宋体" w:hint="eastAsia"/>
          <w:b/>
          <w:bCs/>
          <w:kern w:val="0"/>
          <w:sz w:val="20"/>
          <w:szCs w:val="20"/>
        </w:rPr>
        <w:t>cell barring</w:t>
      </w:r>
      <w:r>
        <w:rPr>
          <w:rFonts w:eastAsia="宋体"/>
          <w:b/>
          <w:bCs/>
          <w:kern w:val="0"/>
          <w:sz w:val="20"/>
          <w:szCs w:val="20"/>
        </w:rPr>
        <w:t>”</w:t>
      </w:r>
      <w:r>
        <w:rPr>
          <w:rFonts w:eastAsia="宋体" w:hint="eastAsia"/>
          <w:b/>
          <w:bCs/>
          <w:kern w:val="0"/>
          <w:sz w:val="20"/>
          <w:szCs w:val="20"/>
        </w:rPr>
        <w:t xml:space="preserve"> </w:t>
      </w:r>
      <w:r>
        <w:rPr>
          <w:rFonts w:eastAsia="宋体" w:hint="eastAsia"/>
          <w:b/>
          <w:bCs/>
          <w:kern w:val="0"/>
          <w:sz w:val="20"/>
          <w:szCs w:val="20"/>
        </w:rPr>
        <w:t xml:space="preserve">evaluation for Redcap UE, and </w:t>
      </w:r>
      <w:r>
        <w:rPr>
          <w:rFonts w:eastAsia="等线" w:hint="eastAsia"/>
          <w:b/>
          <w:bCs/>
          <w:kern w:val="0"/>
          <w:sz w:val="20"/>
          <w:szCs w:val="20"/>
        </w:rPr>
        <w:t>network update the BWP configuration in Msg4.</w:t>
      </w:r>
    </w:p>
    <w:p w:rsidR="00FF43E6" w:rsidRDefault="003155C6">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 xml:space="preserve">UE </w:t>
      </w:r>
      <w:r>
        <w:rPr>
          <w:rFonts w:ascii="Arial" w:hAnsi="Arial" w:cs="Arial" w:hint="eastAsia"/>
          <w:b w:val="0"/>
          <w:bCs w:val="0"/>
          <w:kern w:val="0"/>
          <w:sz w:val="28"/>
          <w:szCs w:val="28"/>
        </w:rPr>
        <w:t>identification</w:t>
      </w:r>
    </w:p>
    <w:p w:rsidR="00FF43E6" w:rsidRDefault="003155C6">
      <w:pPr>
        <w:widowControl/>
        <w:overflowPunct w:val="0"/>
        <w:autoSpaceDE w:val="0"/>
        <w:autoSpaceDN w:val="0"/>
        <w:spacing w:after="120" w:line="20" w:lineRule="atLeast"/>
        <w:rPr>
          <w:rFonts w:eastAsia="等线"/>
          <w:kern w:val="0"/>
          <w:sz w:val="20"/>
          <w:szCs w:val="20"/>
        </w:rPr>
      </w:pPr>
      <w:r>
        <w:rPr>
          <w:rFonts w:eastAsia="等线" w:hint="eastAsia"/>
          <w:kern w:val="0"/>
          <w:sz w:val="20"/>
          <w:szCs w:val="20"/>
        </w:rPr>
        <w:t>RAN1 studied feasibility, necessity, pros and cons from RAN1 perspective for the following schemes for identification of RedCap UEs:</w:t>
      </w:r>
    </w:p>
    <w:p w:rsidR="00FF43E6" w:rsidRDefault="003155C6">
      <w:pPr>
        <w:spacing w:after="120" w:line="20" w:lineRule="atLeast"/>
        <w:ind w:leftChars="100" w:left="493" w:hanging="283"/>
        <w:rPr>
          <w:sz w:val="20"/>
          <w:szCs w:val="20"/>
        </w:rPr>
      </w:pPr>
      <w:r>
        <w:rPr>
          <w:sz w:val="20"/>
          <w:szCs w:val="20"/>
        </w:rPr>
        <w:t>-</w:t>
      </w:r>
      <w:r>
        <w:rPr>
          <w:sz w:val="20"/>
          <w:szCs w:val="20"/>
        </w:rPr>
        <w:tab/>
        <w:t>Option 1: During Msg1 transmission, e.g., via separate initial UL BWP, separate PRACH resource, or PRACH p</w:t>
      </w:r>
      <w:r>
        <w:rPr>
          <w:sz w:val="20"/>
          <w:szCs w:val="20"/>
        </w:rPr>
        <w:t>reamble partitioning</w:t>
      </w:r>
    </w:p>
    <w:p w:rsidR="00FF43E6" w:rsidRDefault="003155C6">
      <w:pPr>
        <w:spacing w:after="120" w:line="20" w:lineRule="atLeast"/>
        <w:ind w:leftChars="100" w:left="493" w:hanging="283"/>
        <w:rPr>
          <w:sz w:val="20"/>
          <w:szCs w:val="20"/>
        </w:rPr>
      </w:pPr>
      <w:r>
        <w:rPr>
          <w:sz w:val="20"/>
          <w:szCs w:val="20"/>
        </w:rPr>
        <w:t>-</w:t>
      </w:r>
      <w:r>
        <w:rPr>
          <w:sz w:val="20"/>
          <w:szCs w:val="20"/>
        </w:rPr>
        <w:tab/>
        <w:t>Option 2: During Msg3 transmission</w:t>
      </w:r>
    </w:p>
    <w:p w:rsidR="00FF43E6" w:rsidRDefault="003155C6">
      <w:pPr>
        <w:spacing w:after="120" w:line="20" w:lineRule="atLeast"/>
        <w:ind w:leftChars="100" w:left="493" w:hanging="283"/>
        <w:rPr>
          <w:sz w:val="20"/>
          <w:szCs w:val="20"/>
        </w:rPr>
      </w:pPr>
      <w:r>
        <w:rPr>
          <w:sz w:val="20"/>
          <w:szCs w:val="20"/>
        </w:rPr>
        <w:t>-</w:t>
      </w:r>
      <w:r>
        <w:rPr>
          <w:sz w:val="20"/>
          <w:szCs w:val="20"/>
        </w:rPr>
        <w:tab/>
        <w:t>Option 3: Post Msg4 acknowledgment, e.g., during Msg5 transmission or part of UE capability reporting</w:t>
      </w:r>
    </w:p>
    <w:p w:rsidR="00FF43E6" w:rsidRDefault="003155C6">
      <w:pPr>
        <w:spacing w:after="120" w:line="20" w:lineRule="atLeast"/>
        <w:ind w:leftChars="100" w:left="493" w:hanging="283"/>
        <w:rPr>
          <w:sz w:val="20"/>
          <w:szCs w:val="20"/>
        </w:rPr>
      </w:pPr>
      <w:r>
        <w:rPr>
          <w:sz w:val="20"/>
          <w:szCs w:val="20"/>
        </w:rPr>
        <w:t>-</w:t>
      </w:r>
      <w:r>
        <w:rPr>
          <w:sz w:val="20"/>
          <w:szCs w:val="20"/>
        </w:rPr>
        <w:tab/>
        <w:t>Option 4: During MsgA transmission (subject to support of 2-step RACH procedure)</w:t>
      </w:r>
    </w:p>
    <w:p w:rsidR="00FF43E6" w:rsidRDefault="003155C6">
      <w:pPr>
        <w:widowControl/>
        <w:overflowPunct w:val="0"/>
        <w:autoSpaceDE w:val="0"/>
        <w:autoSpaceDN w:val="0"/>
        <w:spacing w:after="120" w:line="20" w:lineRule="atLeast"/>
        <w:rPr>
          <w:rFonts w:eastAsia="宋体"/>
          <w:kern w:val="0"/>
          <w:sz w:val="20"/>
          <w:szCs w:val="20"/>
        </w:rPr>
      </w:pPr>
      <w:r>
        <w:rPr>
          <w:rFonts w:eastAsia="等线" w:hint="eastAsia"/>
          <w:kern w:val="0"/>
          <w:sz w:val="20"/>
          <w:szCs w:val="20"/>
        </w:rPr>
        <w:t>The feasibi</w:t>
      </w:r>
      <w:r>
        <w:rPr>
          <w:rFonts w:eastAsia="等线" w:hint="eastAsia"/>
          <w:kern w:val="0"/>
          <w:sz w:val="20"/>
          <w:szCs w:val="20"/>
        </w:rPr>
        <w:t xml:space="preserve">lity, necessity, pros and cons of Option 1, Option 2, and Option 3 have been captured in TR. Option 1 is necessary at least for identifying UE bandwidth capability for Msg3 as discussed in section 2.2 in this document. As captured in TR, at least PUSCH of </w:t>
      </w:r>
      <w:r>
        <w:rPr>
          <w:rFonts w:eastAsia="等线" w:hint="eastAsia"/>
          <w:kern w:val="0"/>
          <w:sz w:val="20"/>
          <w:szCs w:val="20"/>
        </w:rPr>
        <w:t>RedCap should do coverage recovery. Thus identification before msg3 is needed to perform coverage recovery for msg3.</w:t>
      </w:r>
    </w:p>
    <w:p w:rsidR="00FF43E6" w:rsidRDefault="003155C6">
      <w:pPr>
        <w:widowControl/>
        <w:overflowPunct w:val="0"/>
        <w:autoSpaceDE w:val="0"/>
        <w:autoSpaceDN w:val="0"/>
        <w:spacing w:after="120" w:line="20" w:lineRule="atLeast"/>
        <w:rPr>
          <w:rFonts w:eastAsia="等线"/>
          <w:kern w:val="0"/>
          <w:sz w:val="20"/>
          <w:szCs w:val="20"/>
        </w:rPr>
      </w:pPr>
      <w:r>
        <w:rPr>
          <w:rFonts w:eastAsia="等线" w:hint="eastAsia"/>
          <w:kern w:val="0"/>
          <w:sz w:val="20"/>
          <w:szCs w:val="20"/>
        </w:rPr>
        <w:t>Identification of RedCap UE type(s) during transmission of Msg1 could be feasible from the perspective of RAN1 by separation of PRACH resou</w:t>
      </w:r>
      <w:r>
        <w:rPr>
          <w:rFonts w:eastAsia="等线" w:hint="eastAsia"/>
          <w:kern w:val="0"/>
          <w:sz w:val="20"/>
          <w:szCs w:val="20"/>
        </w:rPr>
        <w:t>rces/PRACH preambles between RedCap and non-RedCap UEs or separation of initial UL BWP for RedCap and non-RedCap UEs.</w:t>
      </w:r>
    </w:p>
    <w:p w:rsidR="00FF43E6" w:rsidRDefault="003155C6">
      <w:pPr>
        <w:widowControl/>
        <w:overflowPunct w:val="0"/>
        <w:autoSpaceDE w:val="0"/>
        <w:autoSpaceDN w:val="0"/>
        <w:spacing w:after="120" w:line="20" w:lineRule="atLeast"/>
        <w:rPr>
          <w:rFonts w:eastAsia="等线"/>
          <w:kern w:val="0"/>
          <w:sz w:val="20"/>
          <w:szCs w:val="20"/>
        </w:rPr>
      </w:pPr>
      <w:r>
        <w:rPr>
          <w:rFonts w:eastAsia="等线" w:hint="eastAsia"/>
          <w:kern w:val="0"/>
          <w:sz w:val="20"/>
          <w:szCs w:val="20"/>
        </w:rPr>
        <w:t>The similar reasons are applicable for option 4, i.e. identification during MsgA transmission.</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8: RedCap UE type is identified during Msg1/MsgA transmission </w:t>
      </w:r>
    </w:p>
    <w:p w:rsidR="00FF43E6" w:rsidRDefault="003155C6">
      <w:pPr>
        <w:pStyle w:val="1"/>
        <w:widowControl/>
        <w:numPr>
          <w:ilvl w:val="1"/>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UAC Enhancement</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In RAN2#111-e, it was agreed UAC mechanism also apply to RedCap UE and further discuss enhancement of UAC for RedCap UEs[1]:</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Agreements:</w:t>
      </w:r>
    </w:p>
    <w:p w:rsidR="00FF43E6" w:rsidRDefault="003155C6">
      <w:pPr>
        <w:numPr>
          <w:ilvl w:val="0"/>
          <w:numId w:val="7"/>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 xml:space="preserve">An indication in system information is needed to indicate whether a REDCAP UE can camp on the cell. FFS whether the indication is explicit or implicit. </w:t>
      </w:r>
    </w:p>
    <w:p w:rsidR="00FF43E6" w:rsidRDefault="003155C6">
      <w:pPr>
        <w:numPr>
          <w:ilvl w:val="0"/>
          <w:numId w:val="7"/>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szCs w:val="20"/>
          <w:lang w:val="en-GB" w:eastAsia="en-GB"/>
        </w:rPr>
      </w:pPr>
      <w:r>
        <w:rPr>
          <w:rFonts w:ascii="Arial" w:eastAsia="MS Mincho" w:hAnsi="Arial"/>
          <w:color w:val="0000FF"/>
          <w:sz w:val="20"/>
          <w:szCs w:val="20"/>
          <w:lang w:val="en-GB" w:eastAsia="en-GB"/>
        </w:rPr>
        <w:t>UAC mechanism also apply to REDCAP UEs.</w:t>
      </w:r>
    </w:p>
    <w:p w:rsidR="00FF43E6" w:rsidRDefault="003155C6">
      <w:pPr>
        <w:numPr>
          <w:ilvl w:val="0"/>
          <w:numId w:val="7"/>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sz w:val="20"/>
          <w:szCs w:val="20"/>
          <w:lang w:val="en-GB" w:eastAsia="en-GB"/>
        </w:rPr>
      </w:pPr>
      <w:r>
        <w:rPr>
          <w:rFonts w:ascii="Arial" w:eastAsia="MS Mincho" w:hAnsi="Arial"/>
          <w:sz w:val="20"/>
          <w:szCs w:val="20"/>
          <w:lang w:val="en-GB" w:eastAsia="en-GB"/>
        </w:rPr>
        <w:t>System information indicates whether REDCAP operation is allowe</w:t>
      </w:r>
      <w:r>
        <w:rPr>
          <w:rFonts w:ascii="Arial" w:eastAsia="MS Mincho" w:hAnsi="Arial"/>
          <w:sz w:val="20"/>
          <w:szCs w:val="20"/>
          <w:lang w:val="en-GB" w:eastAsia="en-GB"/>
        </w:rPr>
        <w:t>d/barred on a frequency. FFS reuse the legacy intraFreqReselection or introduce separate flag</w:t>
      </w:r>
    </w:p>
    <w:p w:rsidR="00FF43E6" w:rsidRDefault="003155C6">
      <w:pPr>
        <w:numPr>
          <w:ilvl w:val="0"/>
          <w:numId w:val="7"/>
        </w:num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szCs w:val="20"/>
          <w:lang w:val="en-GB" w:eastAsia="en-GB"/>
        </w:rPr>
      </w:pPr>
      <w:r>
        <w:rPr>
          <w:rFonts w:ascii="Arial" w:eastAsia="MS Mincho" w:hAnsi="Arial"/>
          <w:color w:val="0000FF"/>
          <w:sz w:val="20"/>
          <w:szCs w:val="20"/>
          <w:lang w:val="en-GB" w:eastAsia="en-GB"/>
        </w:rPr>
        <w:lastRenderedPageBreak/>
        <w:t>Further discuss enhancement of UAC for REDCAP UEs, including e.g.:</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szCs w:val="20"/>
          <w:lang w:val="en-GB" w:eastAsia="en-GB"/>
        </w:rPr>
      </w:pPr>
      <w:r>
        <w:rPr>
          <w:rFonts w:ascii="Arial" w:eastAsia="MS Mincho" w:hAnsi="Arial"/>
          <w:color w:val="0000FF"/>
          <w:sz w:val="20"/>
          <w:szCs w:val="20"/>
          <w:lang w:val="en-GB" w:eastAsia="en-GB"/>
        </w:rPr>
        <w:tab/>
        <w:t>a. define new Access Identity for REDCAP UEs</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szCs w:val="20"/>
          <w:lang w:val="en-GB" w:eastAsia="en-GB"/>
        </w:rPr>
      </w:pPr>
      <w:r>
        <w:rPr>
          <w:rFonts w:ascii="Arial" w:eastAsia="MS Mincho" w:hAnsi="Arial"/>
          <w:color w:val="0000FF"/>
          <w:sz w:val="20"/>
          <w:szCs w:val="20"/>
          <w:lang w:val="en-GB" w:eastAsia="en-GB"/>
        </w:rPr>
        <w:tab/>
        <w:t>b. define new Access Categories for REDCAP UEs</w:t>
      </w:r>
    </w:p>
    <w:p w:rsidR="00FF43E6" w:rsidRDefault="003155C6">
      <w:pPr>
        <w:pBdr>
          <w:top w:val="single" w:sz="4" w:space="1" w:color="auto"/>
          <w:left w:val="single" w:sz="4" w:space="4" w:color="auto"/>
          <w:bottom w:val="single" w:sz="4" w:space="1" w:color="auto"/>
          <w:right w:val="single" w:sz="4" w:space="4" w:color="auto"/>
        </w:pBdr>
        <w:tabs>
          <w:tab w:val="left" w:pos="840"/>
        </w:tabs>
        <w:spacing w:after="0" w:line="240" w:lineRule="auto"/>
        <w:ind w:leftChars="200" w:left="840" w:hangingChars="210" w:hanging="420"/>
        <w:rPr>
          <w:rFonts w:ascii="Arial" w:eastAsia="MS Mincho" w:hAnsi="Arial"/>
          <w:color w:val="0000FF"/>
          <w:sz w:val="20"/>
          <w:szCs w:val="20"/>
          <w:lang w:val="en-GB" w:eastAsia="en-GB"/>
        </w:rPr>
      </w:pPr>
      <w:r>
        <w:rPr>
          <w:rFonts w:ascii="Arial" w:eastAsia="MS Mincho" w:hAnsi="Arial"/>
          <w:color w:val="0000FF"/>
          <w:sz w:val="20"/>
          <w:szCs w:val="20"/>
          <w:lang w:val="en-GB" w:eastAsia="en-GB"/>
        </w:rPr>
        <w:tab/>
      </w:r>
      <w:r>
        <w:rPr>
          <w:rFonts w:ascii="Arial" w:eastAsia="MS Mincho" w:hAnsi="Arial"/>
          <w:color w:val="0000FF"/>
          <w:sz w:val="20"/>
          <w:szCs w:val="20"/>
          <w:lang w:val="en-GB" w:eastAsia="en-GB"/>
        </w:rPr>
        <w:t>(for any final decision we need to check with SA1 and/or CT1)</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In NR, UAC is performed based on Access Category and Access Identity. A list of Access Category are defined to map different reasons of access attempts, such as MT access, emergency, MO data, et</w:t>
      </w:r>
      <w:r>
        <w:rPr>
          <w:rFonts w:eastAsia="等线" w:hint="eastAsia"/>
          <w:kern w:val="0"/>
          <w:sz w:val="20"/>
          <w:szCs w:val="20"/>
        </w:rPr>
        <w:t>c. The Access Identity represent whether UE is configured with access class 11 to 15 or configured for MPS and MCS.</w:t>
      </w:r>
    </w:p>
    <w:p w:rsidR="00FF43E6" w:rsidRDefault="003155C6">
      <w:pPr>
        <w:widowControl/>
        <w:overflowPunct w:val="0"/>
        <w:autoSpaceDE w:val="0"/>
        <w:autoSpaceDN w:val="0"/>
        <w:spacing w:after="120" w:line="240" w:lineRule="auto"/>
        <w:rPr>
          <w:sz w:val="20"/>
          <w:szCs w:val="20"/>
        </w:rPr>
      </w:pPr>
      <w:r>
        <w:rPr>
          <w:rFonts w:eastAsia="等线" w:hint="eastAsia"/>
          <w:kern w:val="0"/>
          <w:sz w:val="20"/>
          <w:szCs w:val="20"/>
        </w:rPr>
        <w:t>Current UAC mechanism is designed in such a manner that barring configuration (including barring timer and barring factor) is configured per</w:t>
      </w:r>
      <w:r>
        <w:rPr>
          <w:rFonts w:eastAsia="等线" w:hint="eastAsia"/>
          <w:kern w:val="0"/>
          <w:sz w:val="20"/>
          <w:szCs w:val="20"/>
        </w:rPr>
        <w:t xml:space="preserve"> Access Category. The network can configure to which Access Identities the barring information is applied. With this mechanism, access attempts with different Access Identities but same Access Category applies the same barring configuration.</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On performing </w:t>
      </w:r>
      <w:r>
        <w:rPr>
          <w:rFonts w:eastAsia="等线" w:hint="eastAsia"/>
          <w:kern w:val="0"/>
          <w:sz w:val="20"/>
          <w:szCs w:val="20"/>
        </w:rPr>
        <w:t>UAC, firstly, UE check whether there is configuration matching its Access Category. If yes, UE then check whether the configuration is applied to one of its Access Identities.</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Observation 2: In current NR UAC mechanism, access attempts with different </w:t>
      </w:r>
      <w:r>
        <w:rPr>
          <w:rFonts w:eastAsia="宋体" w:hint="eastAsia"/>
          <w:b/>
          <w:bCs/>
          <w:kern w:val="0"/>
          <w:sz w:val="20"/>
          <w:szCs w:val="20"/>
        </w:rPr>
        <w:t>Access Identities but same Access Category share the same barring information (barring time and barring factor) unless the baring configuration is not configured applicable to an Access Identity.</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 xml:space="preserve">With solution of defining new Access Identity for RedCap </w:t>
      </w:r>
      <w:r>
        <w:rPr>
          <w:rFonts w:eastAsia="等线" w:hint="eastAsia"/>
          <w:kern w:val="0"/>
          <w:sz w:val="20"/>
          <w:szCs w:val="20"/>
        </w:rPr>
        <w:t>only but not define new Access Category, the network can configure whether barring is applicable to a RedCap Access Identity. But it cannot configure different barring configuration for RedCap UE and non-RedCap UE with the same Access category. This will l</w:t>
      </w:r>
      <w:r>
        <w:rPr>
          <w:rFonts w:eastAsia="等线" w:hint="eastAsia"/>
          <w:kern w:val="0"/>
          <w:sz w:val="20"/>
          <w:szCs w:val="20"/>
        </w:rPr>
        <w:t>imit flexibility in access control configuration.</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Observation 3: By only defining new Access Identity for RedCap, the network cannot configure different barring information for RedCap UE and non-RedCap UE.</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On the other hand, defining new Access Category ca</w:t>
      </w:r>
      <w:r>
        <w:rPr>
          <w:rFonts w:eastAsia="等线" w:hint="eastAsia"/>
          <w:kern w:val="0"/>
          <w:sz w:val="20"/>
          <w:szCs w:val="20"/>
        </w:rPr>
        <w:t>n support separate barring configuration for RedCap UEs.</w:t>
      </w:r>
    </w:p>
    <w:p w:rsidR="00FF43E6" w:rsidRDefault="003155C6">
      <w:pPr>
        <w:widowControl/>
        <w:overflowPunct w:val="0"/>
        <w:autoSpaceDE w:val="0"/>
        <w:autoSpaceDN w:val="0"/>
        <w:spacing w:after="120" w:line="240" w:lineRule="auto"/>
        <w:rPr>
          <w:rFonts w:eastAsia="等线"/>
          <w:b/>
          <w:bCs/>
          <w:kern w:val="0"/>
          <w:sz w:val="20"/>
          <w:szCs w:val="20"/>
        </w:rPr>
      </w:pPr>
      <w:r>
        <w:rPr>
          <w:rFonts w:eastAsia="等线" w:hint="eastAsia"/>
          <w:kern w:val="0"/>
          <w:sz w:val="20"/>
          <w:szCs w:val="20"/>
        </w:rPr>
        <w:t>If new Access Category solution is adopted, new Access Identity seems unnecessary. Current defined Access Identities can be reused for RedCap UE, i.e. RedCap UE can be configured with Access Class 11</w:t>
      </w:r>
      <w:r>
        <w:rPr>
          <w:rFonts w:eastAsia="等线" w:hint="eastAsia"/>
          <w:kern w:val="0"/>
          <w:sz w:val="20"/>
          <w:szCs w:val="20"/>
        </w:rPr>
        <w:t>-15, like non-RedCap UE.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9: From RAN2</w:t>
      </w:r>
      <w:r>
        <w:rPr>
          <w:rFonts w:eastAsia="宋体"/>
          <w:b/>
          <w:bCs/>
          <w:kern w:val="0"/>
          <w:sz w:val="20"/>
          <w:szCs w:val="20"/>
        </w:rPr>
        <w:t>’</w:t>
      </w:r>
      <w:r>
        <w:rPr>
          <w:rFonts w:eastAsia="宋体" w:hint="eastAsia"/>
          <w:b/>
          <w:bCs/>
          <w:kern w:val="0"/>
          <w:sz w:val="20"/>
          <w:szCs w:val="20"/>
        </w:rPr>
        <w:t xml:space="preserve">s </w:t>
      </w:r>
      <w:r>
        <w:rPr>
          <w:rFonts w:eastAsia="宋体" w:hint="eastAsia"/>
          <w:b/>
          <w:bCs/>
          <w:kern w:val="0"/>
          <w:sz w:val="20"/>
          <w:szCs w:val="20"/>
        </w:rPr>
        <w:t>perspective</w:t>
      </w:r>
      <w:r>
        <w:rPr>
          <w:rFonts w:eastAsia="宋体" w:hint="eastAsia"/>
          <w:b/>
          <w:bCs/>
          <w:kern w:val="0"/>
          <w:sz w:val="20"/>
          <w:szCs w:val="20"/>
        </w:rPr>
        <w:t>, it is preferred to introduce new Access categories for RedCap UEs.</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Similar to non-RedCap UE, RedCap UE may initiate access attempt for various reasons. To have fine granular in access control, a</w:t>
      </w:r>
      <w:r>
        <w:rPr>
          <w:rFonts w:eastAsia="等线" w:hint="eastAsia"/>
          <w:kern w:val="0"/>
          <w:sz w:val="20"/>
          <w:szCs w:val="20"/>
        </w:rPr>
        <w:t xml:space="preserve"> list of new access categories need to be defined to map different access attempts.</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The exact access categories can be defined after it is clear which access attempts are supported by RedCap UE. It can be discussed in normative phase.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10: Multiple</w:t>
      </w:r>
      <w:r>
        <w:rPr>
          <w:rFonts w:eastAsia="宋体" w:hint="eastAsia"/>
          <w:b/>
          <w:bCs/>
          <w:kern w:val="0"/>
          <w:sz w:val="20"/>
          <w:szCs w:val="20"/>
        </w:rPr>
        <w:t xml:space="preserve"> Access Categories are defined to map different access attempts, to enable fine granular access control. The exact definition is discussed in normative phase.</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Regarding how to define new Access Category, two options are provided by companies:</w:t>
      </w:r>
    </w:p>
    <w:p w:rsidR="00FF43E6" w:rsidRDefault="003155C6">
      <w:pPr>
        <w:widowControl/>
        <w:overflowPunct w:val="0"/>
        <w:autoSpaceDE w:val="0"/>
        <w:autoSpaceDN w:val="0"/>
        <w:spacing w:after="120" w:line="240" w:lineRule="auto"/>
        <w:ind w:leftChars="200" w:left="420"/>
        <w:rPr>
          <w:rFonts w:eastAsia="等线"/>
          <w:kern w:val="0"/>
          <w:sz w:val="20"/>
          <w:szCs w:val="20"/>
        </w:rPr>
      </w:pPr>
      <w:r>
        <w:rPr>
          <w:rFonts w:eastAsia="等线" w:hint="eastAsia"/>
          <w:kern w:val="0"/>
          <w:sz w:val="20"/>
          <w:szCs w:val="20"/>
        </w:rPr>
        <w:t xml:space="preserve">Option 1: To </w:t>
      </w:r>
      <w:r>
        <w:rPr>
          <w:rFonts w:eastAsia="等线" w:hint="eastAsia"/>
          <w:kern w:val="0"/>
          <w:sz w:val="20"/>
          <w:szCs w:val="20"/>
        </w:rPr>
        <w:t>define new standard Access Categories by using unused bits in current Access Category space.</w:t>
      </w:r>
    </w:p>
    <w:p w:rsidR="00FF43E6" w:rsidRDefault="003155C6">
      <w:pPr>
        <w:widowControl/>
        <w:overflowPunct w:val="0"/>
        <w:autoSpaceDE w:val="0"/>
        <w:autoSpaceDN w:val="0"/>
        <w:spacing w:after="120" w:line="240" w:lineRule="auto"/>
        <w:ind w:leftChars="200" w:left="420"/>
        <w:rPr>
          <w:rFonts w:eastAsia="等线"/>
          <w:kern w:val="0"/>
          <w:sz w:val="20"/>
          <w:szCs w:val="20"/>
        </w:rPr>
      </w:pPr>
      <w:r>
        <w:rPr>
          <w:rFonts w:eastAsia="等线" w:hint="eastAsia"/>
          <w:kern w:val="0"/>
          <w:sz w:val="20"/>
          <w:szCs w:val="20"/>
        </w:rPr>
        <w:t>Option 2: To use Access Categories reserved for operator-defined Access Category.</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t>In current spec, the maximum access category number is defined as 64. AC 32 to 63</w:t>
      </w:r>
      <w:r>
        <w:rPr>
          <w:rFonts w:eastAsia="等线" w:hint="eastAsia"/>
          <w:kern w:val="0"/>
          <w:sz w:val="20"/>
          <w:szCs w:val="20"/>
        </w:rPr>
        <w:t xml:space="preserve"> are reserved for operator-defined access category, AC 0-7, 9,10 have been defined. Both option 1 and option 2 are feasible with respect to available Access Category ID space.</w:t>
      </w:r>
    </w:p>
    <w:p w:rsidR="00FF43E6" w:rsidRDefault="003155C6">
      <w:pPr>
        <w:widowControl/>
        <w:overflowPunct w:val="0"/>
        <w:autoSpaceDE w:val="0"/>
        <w:autoSpaceDN w:val="0"/>
        <w:spacing w:after="120" w:line="240" w:lineRule="auto"/>
        <w:rPr>
          <w:rFonts w:eastAsia="等线"/>
          <w:kern w:val="0"/>
          <w:sz w:val="20"/>
          <w:szCs w:val="20"/>
        </w:rPr>
      </w:pPr>
      <w:r>
        <w:rPr>
          <w:rFonts w:eastAsia="等线" w:hint="eastAsia"/>
          <w:kern w:val="0"/>
          <w:sz w:val="20"/>
          <w:szCs w:val="20"/>
        </w:rPr>
        <w:lastRenderedPageBreak/>
        <w:t>Per our understanding, the difference between option 1 and option 2 is whether a</w:t>
      </w:r>
      <w:r>
        <w:rPr>
          <w:rFonts w:eastAsia="等线" w:hint="eastAsia"/>
          <w:kern w:val="0"/>
          <w:sz w:val="20"/>
          <w:szCs w:val="20"/>
        </w:rPr>
        <w:t xml:space="preserve"> set of standard Access Categories for RedCap UE can be defined. With option 1, a set of standard Access Categories are defined. Besides of that, operator can still define its own Access Categories based on RedCap UE</w:t>
      </w:r>
      <w:r>
        <w:rPr>
          <w:rFonts w:eastAsia="等线"/>
          <w:kern w:val="0"/>
          <w:sz w:val="20"/>
          <w:szCs w:val="20"/>
        </w:rPr>
        <w:t>’</w:t>
      </w:r>
      <w:r>
        <w:rPr>
          <w:rFonts w:eastAsia="等线" w:hint="eastAsia"/>
          <w:kern w:val="0"/>
          <w:sz w:val="20"/>
          <w:szCs w:val="20"/>
        </w:rPr>
        <w:t>s subscription data, e.g. use case info</w:t>
      </w:r>
      <w:r>
        <w:rPr>
          <w:rFonts w:eastAsia="等线" w:hint="eastAsia"/>
          <w:kern w:val="0"/>
          <w:sz w:val="20"/>
          <w:szCs w:val="20"/>
        </w:rPr>
        <w:t>rmation. This is similar to current mechanism for non-RedCap UE. Thus option 1 seems more preferable.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11: Define a set of new standard Access Categories for RedCap UE.</w:t>
      </w:r>
    </w:p>
    <w:p w:rsidR="00FF43E6" w:rsidRDefault="003155C6">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Conclusion</w:t>
      </w:r>
    </w:p>
    <w:p w:rsidR="00FF43E6" w:rsidRDefault="003155C6">
      <w:pPr>
        <w:widowControl/>
        <w:overflowPunct w:val="0"/>
        <w:autoSpaceDE w:val="0"/>
        <w:autoSpaceDN w:val="0"/>
        <w:adjustRightInd w:val="0"/>
        <w:spacing w:after="120" w:line="240" w:lineRule="auto"/>
        <w:ind w:right="-96"/>
        <w:textAlignment w:val="baseline"/>
        <w:rPr>
          <w:rFonts w:eastAsia="宋体"/>
          <w:i/>
          <w:iCs/>
          <w:kern w:val="0"/>
          <w:sz w:val="20"/>
          <w:szCs w:val="20"/>
        </w:rPr>
      </w:pPr>
      <w:r>
        <w:rPr>
          <w:rFonts w:eastAsia="宋体" w:hint="eastAsia"/>
          <w:i/>
          <w:iCs/>
          <w:kern w:val="0"/>
          <w:sz w:val="20"/>
          <w:szCs w:val="20"/>
        </w:rPr>
        <w:t>On network capability indication:</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1: A cell can be </w:t>
      </w:r>
      <w:r>
        <w:rPr>
          <w:rFonts w:eastAsia="宋体" w:hint="eastAsia"/>
          <w:b/>
          <w:bCs/>
          <w:kern w:val="0"/>
          <w:sz w:val="20"/>
          <w:szCs w:val="20"/>
        </w:rPr>
        <w:t>configured as non-RedCap access only, RedCap access only, or RedCap and non-RedCap coexist, i.e. cell barring for non-RedCap UE and RedCap UE can be configured independently.</w:t>
      </w:r>
    </w:p>
    <w:p w:rsidR="00FF43E6" w:rsidRDefault="003155C6">
      <w:pPr>
        <w:widowControl/>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 xml:space="preserve">Proposal 2: Current </w:t>
      </w:r>
      <w:r>
        <w:rPr>
          <w:rFonts w:eastAsia="宋体"/>
          <w:b/>
          <w:bCs/>
          <w:kern w:val="0"/>
          <w:sz w:val="20"/>
          <w:szCs w:val="20"/>
        </w:rPr>
        <w:t>“</w:t>
      </w:r>
      <w:r>
        <w:rPr>
          <w:rFonts w:eastAsia="宋体" w:hint="eastAsia"/>
          <w:b/>
          <w:bCs/>
          <w:i/>
          <w:iCs/>
          <w:kern w:val="0"/>
          <w:sz w:val="20"/>
          <w:szCs w:val="20"/>
        </w:rPr>
        <w:t>cellBarred</w:t>
      </w:r>
      <w:r>
        <w:rPr>
          <w:rFonts w:eastAsia="宋体"/>
          <w:b/>
          <w:bCs/>
          <w:kern w:val="0"/>
          <w:sz w:val="20"/>
          <w:szCs w:val="20"/>
        </w:rPr>
        <w:t>”</w:t>
      </w:r>
      <w:r>
        <w:rPr>
          <w:rFonts w:eastAsia="宋体" w:hint="eastAsia"/>
          <w:b/>
          <w:bCs/>
          <w:kern w:val="0"/>
          <w:sz w:val="20"/>
          <w:szCs w:val="20"/>
        </w:rPr>
        <w:t xml:space="preserve"> in MIB is not applicable for RedCap UE.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w:t>
      </w:r>
      <w:r>
        <w:rPr>
          <w:rFonts w:eastAsia="宋体" w:hint="eastAsia"/>
          <w:b/>
          <w:bCs/>
          <w:kern w:val="0"/>
          <w:sz w:val="20"/>
          <w:szCs w:val="20"/>
        </w:rPr>
        <w:t xml:space="preserve"> 3: </w:t>
      </w:r>
      <w:r>
        <w:rPr>
          <w:rFonts w:eastAsia="宋体" w:hint="eastAsia"/>
          <w:b/>
          <w:bCs/>
          <w:kern w:val="0"/>
          <w:sz w:val="20"/>
          <w:szCs w:val="20"/>
        </w:rPr>
        <w:t xml:space="preserve">To </w:t>
      </w:r>
      <w:r>
        <w:rPr>
          <w:rFonts w:eastAsia="宋体" w:hint="eastAsia"/>
          <w:b/>
          <w:bCs/>
          <w:kern w:val="0"/>
          <w:sz w:val="20"/>
          <w:szCs w:val="20"/>
        </w:rPr>
        <w:t xml:space="preserve">reflect the following alternatives in the TR for indicating whether Redcap UE can camp on current cell: </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b/>
          <w:bCs/>
          <w:kern w:val="0"/>
          <w:sz w:val="20"/>
          <w:szCs w:val="20"/>
        </w:rPr>
        <w:t xml:space="preserve">An explicit </w:t>
      </w:r>
      <w:r>
        <w:rPr>
          <w:rFonts w:eastAsia="宋体" w:hint="eastAsia"/>
          <w:b/>
          <w:bCs/>
          <w:kern w:val="0"/>
          <w:sz w:val="20"/>
          <w:szCs w:val="20"/>
        </w:rPr>
        <w:t xml:space="preserve">indication </w:t>
      </w:r>
      <w:r>
        <w:rPr>
          <w:rFonts w:eastAsia="宋体"/>
          <w:b/>
          <w:bCs/>
          <w:kern w:val="0"/>
          <w:sz w:val="20"/>
          <w:szCs w:val="20"/>
        </w:rPr>
        <w:t xml:space="preserve">included </w:t>
      </w:r>
      <w:r>
        <w:rPr>
          <w:rFonts w:eastAsia="宋体" w:hint="eastAsia"/>
          <w:b/>
          <w:bCs/>
          <w:kern w:val="0"/>
          <w:sz w:val="20"/>
          <w:szCs w:val="20"/>
        </w:rPr>
        <w:t>in MIB</w:t>
      </w:r>
      <w:r>
        <w:rPr>
          <w:rFonts w:eastAsia="宋体"/>
          <w:b/>
          <w:bCs/>
          <w:kern w:val="0"/>
          <w:sz w:val="20"/>
          <w:szCs w:val="20"/>
        </w:rPr>
        <w:t>;</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An explicit i</w:t>
      </w:r>
      <w:r>
        <w:rPr>
          <w:rFonts w:eastAsia="宋体"/>
          <w:b/>
          <w:bCs/>
          <w:kern w:val="0"/>
          <w:sz w:val="20"/>
          <w:szCs w:val="20"/>
        </w:rPr>
        <w:t xml:space="preserve">ndication included in the </w:t>
      </w:r>
      <w:r>
        <w:rPr>
          <w:rFonts w:eastAsia="宋体" w:hint="eastAsia"/>
          <w:b/>
          <w:bCs/>
          <w:kern w:val="0"/>
          <w:sz w:val="20"/>
          <w:szCs w:val="20"/>
        </w:rPr>
        <w:t xml:space="preserve">DCI </w:t>
      </w:r>
      <w:r>
        <w:rPr>
          <w:rFonts w:eastAsia="宋体"/>
          <w:b/>
          <w:bCs/>
          <w:kern w:val="0"/>
          <w:sz w:val="20"/>
          <w:szCs w:val="20"/>
        </w:rPr>
        <w:t xml:space="preserve">used </w:t>
      </w:r>
      <w:r>
        <w:rPr>
          <w:rFonts w:eastAsia="宋体" w:hint="eastAsia"/>
          <w:b/>
          <w:bCs/>
          <w:kern w:val="0"/>
          <w:sz w:val="20"/>
          <w:szCs w:val="20"/>
        </w:rPr>
        <w:t>for SIB1 scheduling</w:t>
      </w:r>
      <w:r>
        <w:rPr>
          <w:rFonts w:eastAsia="宋体"/>
          <w:b/>
          <w:bCs/>
          <w:kern w:val="0"/>
          <w:sz w:val="20"/>
          <w:szCs w:val="20"/>
        </w:rPr>
        <w:t>;</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b/>
          <w:bCs/>
          <w:kern w:val="0"/>
          <w:sz w:val="20"/>
          <w:szCs w:val="20"/>
        </w:rPr>
        <w:t xml:space="preserve">An explicit </w:t>
      </w:r>
      <w:r>
        <w:rPr>
          <w:rFonts w:eastAsia="宋体" w:hint="eastAsia"/>
          <w:b/>
          <w:bCs/>
          <w:kern w:val="0"/>
          <w:sz w:val="20"/>
          <w:szCs w:val="20"/>
        </w:rPr>
        <w:t>indication</w:t>
      </w:r>
      <w:r>
        <w:rPr>
          <w:rFonts w:eastAsia="宋体"/>
          <w:b/>
          <w:bCs/>
          <w:kern w:val="0"/>
          <w:sz w:val="20"/>
          <w:szCs w:val="20"/>
        </w:rPr>
        <w:t xml:space="preserve"> included in </w:t>
      </w:r>
      <w:r>
        <w:rPr>
          <w:rFonts w:eastAsia="宋体" w:hint="eastAsia"/>
          <w:b/>
          <w:bCs/>
          <w:kern w:val="0"/>
          <w:sz w:val="20"/>
          <w:szCs w:val="20"/>
        </w:rPr>
        <w:t>SIB1</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4: For each inter-frequency and/or neighbour cell, network can indicate whether it is applicable to </w:t>
      </w:r>
      <w:r>
        <w:rPr>
          <w:rFonts w:eastAsia="宋体"/>
          <w:b/>
          <w:bCs/>
          <w:kern w:val="0"/>
          <w:sz w:val="20"/>
          <w:szCs w:val="20"/>
        </w:rPr>
        <w:t>‘</w:t>
      </w:r>
      <w:r>
        <w:rPr>
          <w:rFonts w:eastAsia="宋体" w:hint="eastAsia"/>
          <w:b/>
          <w:bCs/>
          <w:kern w:val="0"/>
          <w:sz w:val="20"/>
          <w:szCs w:val="20"/>
        </w:rPr>
        <w:t>Redcap only</w:t>
      </w:r>
      <w:r>
        <w:rPr>
          <w:rFonts w:eastAsia="宋体"/>
          <w:b/>
          <w:bCs/>
          <w:kern w:val="0"/>
          <w:sz w:val="20"/>
          <w:szCs w:val="20"/>
        </w:rPr>
        <w:t>’</w:t>
      </w:r>
      <w:r>
        <w:rPr>
          <w:rFonts w:eastAsia="宋体" w:hint="eastAsia"/>
          <w:b/>
          <w:bCs/>
          <w:kern w:val="0"/>
          <w:sz w:val="20"/>
          <w:szCs w:val="20"/>
        </w:rPr>
        <w:t xml:space="preserve"> or </w:t>
      </w:r>
      <w:r>
        <w:rPr>
          <w:rFonts w:eastAsia="宋体"/>
          <w:b/>
          <w:bCs/>
          <w:kern w:val="0"/>
          <w:sz w:val="20"/>
          <w:szCs w:val="20"/>
        </w:rPr>
        <w:t>‘</w:t>
      </w:r>
      <w:r>
        <w:rPr>
          <w:rFonts w:eastAsia="宋体" w:hint="eastAsia"/>
          <w:b/>
          <w:bCs/>
          <w:kern w:val="0"/>
          <w:sz w:val="20"/>
          <w:szCs w:val="20"/>
        </w:rPr>
        <w:t>non-Redcap only</w:t>
      </w:r>
      <w:r>
        <w:rPr>
          <w:rFonts w:eastAsia="宋体"/>
          <w:b/>
          <w:bCs/>
          <w:kern w:val="0"/>
          <w:sz w:val="20"/>
          <w:szCs w:val="20"/>
        </w:rPr>
        <w:t>’</w:t>
      </w:r>
      <w:r>
        <w:rPr>
          <w:rFonts w:eastAsia="宋体" w:hint="eastAsia"/>
          <w:b/>
          <w:bCs/>
          <w:kern w:val="0"/>
          <w:sz w:val="20"/>
          <w:szCs w:val="20"/>
        </w:rPr>
        <w:t xml:space="preserve">, or </w:t>
      </w:r>
      <w:r>
        <w:rPr>
          <w:rFonts w:eastAsia="宋体"/>
          <w:b/>
          <w:bCs/>
          <w:kern w:val="0"/>
          <w:sz w:val="20"/>
          <w:szCs w:val="20"/>
        </w:rPr>
        <w:t>‘</w:t>
      </w:r>
      <w:r>
        <w:rPr>
          <w:rFonts w:eastAsia="宋体" w:hint="eastAsia"/>
          <w:b/>
          <w:bCs/>
          <w:kern w:val="0"/>
          <w:sz w:val="20"/>
          <w:szCs w:val="20"/>
        </w:rPr>
        <w:t>both</w:t>
      </w:r>
      <w:r>
        <w:rPr>
          <w:rFonts w:eastAsia="宋体"/>
          <w:b/>
          <w:bCs/>
          <w:kern w:val="0"/>
          <w:sz w:val="20"/>
          <w:szCs w:val="20"/>
        </w:rPr>
        <w:t>’</w:t>
      </w:r>
      <w:r>
        <w:rPr>
          <w:rFonts w:eastAsia="宋体" w:hint="eastAsia"/>
          <w:b/>
          <w:bCs/>
          <w:kern w:val="0"/>
          <w:sz w:val="20"/>
          <w:szCs w:val="20"/>
        </w:rPr>
        <w:t>, FFS on signalling design.</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5: For a given inter-frequency, network can configure separa</w:t>
      </w:r>
      <w:r>
        <w:rPr>
          <w:rFonts w:eastAsia="宋体" w:hint="eastAsia"/>
          <w:b/>
          <w:bCs/>
          <w:kern w:val="0"/>
          <w:sz w:val="20"/>
          <w:szCs w:val="20"/>
        </w:rPr>
        <w:t xml:space="preserve">te cell reselection priorities for Redcap UEs and non-Redcap UEs. </w:t>
      </w:r>
    </w:p>
    <w:p w:rsidR="00FF43E6" w:rsidRDefault="003155C6">
      <w:pPr>
        <w:widowControl/>
        <w:overflowPunct w:val="0"/>
        <w:autoSpaceDE w:val="0"/>
        <w:autoSpaceDN w:val="0"/>
        <w:adjustRightInd w:val="0"/>
        <w:spacing w:after="120" w:line="240" w:lineRule="auto"/>
        <w:ind w:right="-96"/>
        <w:textAlignment w:val="baseline"/>
        <w:rPr>
          <w:rFonts w:eastAsia="宋体"/>
          <w:i/>
          <w:iCs/>
          <w:kern w:val="0"/>
          <w:sz w:val="20"/>
          <w:szCs w:val="20"/>
        </w:rPr>
      </w:pPr>
      <w:r>
        <w:rPr>
          <w:rFonts w:eastAsia="宋体" w:hint="eastAsia"/>
          <w:i/>
          <w:iCs/>
          <w:kern w:val="0"/>
          <w:sz w:val="20"/>
          <w:szCs w:val="20"/>
        </w:rPr>
        <w:t>On initial BWP issue: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Observation 1: Limiting initial BWP bandwidth to be smaller than RedCap UE</w:t>
      </w:r>
      <w:r>
        <w:rPr>
          <w:rFonts w:eastAsia="宋体"/>
          <w:b/>
          <w:bCs/>
          <w:kern w:val="0"/>
          <w:sz w:val="20"/>
          <w:szCs w:val="20"/>
        </w:rPr>
        <w:t>’</w:t>
      </w:r>
      <w:r>
        <w:rPr>
          <w:rFonts w:eastAsia="宋体" w:hint="eastAsia"/>
          <w:b/>
          <w:bCs/>
          <w:kern w:val="0"/>
          <w:sz w:val="20"/>
          <w:szCs w:val="20"/>
        </w:rPr>
        <w:t>s minimal bandwidth requirement will sacrifice non-RedCap UE</w:t>
      </w:r>
      <w:r>
        <w:rPr>
          <w:rFonts w:eastAsia="宋体"/>
          <w:b/>
          <w:bCs/>
          <w:kern w:val="0"/>
          <w:sz w:val="20"/>
          <w:szCs w:val="20"/>
        </w:rPr>
        <w:t>’</w:t>
      </w:r>
      <w:r>
        <w:rPr>
          <w:rFonts w:eastAsia="宋体" w:hint="eastAsia"/>
          <w:b/>
          <w:bCs/>
          <w:kern w:val="0"/>
          <w:sz w:val="20"/>
          <w:szCs w:val="20"/>
        </w:rPr>
        <w:t>s performance.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6: In </w:t>
      </w:r>
      <w:r>
        <w:rPr>
          <w:rFonts w:eastAsia="宋体" w:hint="eastAsia"/>
          <w:b/>
          <w:bCs/>
          <w:kern w:val="0"/>
          <w:sz w:val="20"/>
          <w:szCs w:val="20"/>
        </w:rPr>
        <w:t>the cell allows RedCap UE access, the NW is able to configure initial BWP for non-RedCap UE with bandwidth larger than RedCap UE</w:t>
      </w:r>
      <w:r>
        <w:rPr>
          <w:rFonts w:eastAsia="宋体"/>
          <w:b/>
          <w:bCs/>
          <w:kern w:val="0"/>
          <w:sz w:val="20"/>
          <w:szCs w:val="20"/>
        </w:rPr>
        <w:t>’</w:t>
      </w:r>
      <w:r>
        <w:rPr>
          <w:rFonts w:eastAsia="宋体" w:hint="eastAsia"/>
          <w:b/>
          <w:bCs/>
          <w:kern w:val="0"/>
          <w:sz w:val="20"/>
          <w:szCs w:val="20"/>
        </w:rPr>
        <w:t>s minimal bandwidth requirement.</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Proposal 7: </w:t>
      </w:r>
      <w:r>
        <w:rPr>
          <w:rFonts w:eastAsia="宋体" w:hint="eastAsia"/>
          <w:b/>
          <w:bCs/>
          <w:kern w:val="0"/>
          <w:sz w:val="20"/>
          <w:szCs w:val="20"/>
        </w:rPr>
        <w:t>To reflect following</w:t>
      </w:r>
      <w:r>
        <w:rPr>
          <w:rFonts w:eastAsia="宋体" w:hint="eastAsia"/>
          <w:b/>
          <w:bCs/>
          <w:kern w:val="0"/>
          <w:sz w:val="20"/>
          <w:szCs w:val="20"/>
        </w:rPr>
        <w:t xml:space="preserve"> two options</w:t>
      </w:r>
      <w:r>
        <w:rPr>
          <w:rFonts w:eastAsia="宋体" w:hint="eastAsia"/>
          <w:b/>
          <w:bCs/>
          <w:kern w:val="0"/>
          <w:sz w:val="20"/>
          <w:szCs w:val="20"/>
        </w:rPr>
        <w:t xml:space="preserve"> regarding initial BWP in the TR</w:t>
      </w:r>
      <w:r>
        <w:rPr>
          <w:rFonts w:eastAsia="宋体" w:hint="eastAsia"/>
          <w:b/>
          <w:bCs/>
          <w:kern w:val="0"/>
          <w:sz w:val="20"/>
          <w:szCs w:val="20"/>
        </w:rPr>
        <w:t>:</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宋体"/>
          <w:b/>
          <w:bCs/>
          <w:kern w:val="0"/>
          <w:sz w:val="20"/>
          <w:szCs w:val="20"/>
        </w:rPr>
      </w:pPr>
      <w:r>
        <w:rPr>
          <w:rFonts w:eastAsia="宋体" w:hint="eastAsia"/>
          <w:b/>
          <w:bCs/>
          <w:kern w:val="0"/>
          <w:sz w:val="20"/>
          <w:szCs w:val="20"/>
        </w:rPr>
        <w:t>Option</w:t>
      </w:r>
      <w:r w:rsidR="00495D12">
        <w:rPr>
          <w:rFonts w:eastAsia="宋体"/>
          <w:b/>
          <w:bCs/>
          <w:kern w:val="0"/>
          <w:sz w:val="20"/>
          <w:szCs w:val="20"/>
        </w:rPr>
        <w:t xml:space="preserve"> </w:t>
      </w:r>
      <w:r>
        <w:rPr>
          <w:rFonts w:eastAsia="宋体" w:hint="eastAsia"/>
          <w:b/>
          <w:bCs/>
          <w:kern w:val="0"/>
          <w:sz w:val="20"/>
          <w:szCs w:val="20"/>
        </w:rPr>
        <w:t>1: To conf</w:t>
      </w:r>
      <w:r>
        <w:rPr>
          <w:rFonts w:eastAsia="宋体" w:hint="eastAsia"/>
          <w:b/>
          <w:bCs/>
          <w:kern w:val="0"/>
          <w:sz w:val="20"/>
          <w:szCs w:val="20"/>
        </w:rPr>
        <w:t>igure RedCap specific initial BWP via SIB1.</w:t>
      </w:r>
    </w:p>
    <w:p w:rsidR="00FF43E6" w:rsidRDefault="003155C6">
      <w:pPr>
        <w:pStyle w:val="afffffff4"/>
        <w:widowControl/>
        <w:numPr>
          <w:ilvl w:val="0"/>
          <w:numId w:val="6"/>
        </w:numPr>
        <w:overflowPunct w:val="0"/>
        <w:autoSpaceDE w:val="0"/>
        <w:autoSpaceDN w:val="0"/>
        <w:adjustRightInd w:val="0"/>
        <w:spacing w:beforeLines="50" w:before="156" w:after="120" w:line="240" w:lineRule="auto"/>
        <w:ind w:right="-96"/>
        <w:textAlignment w:val="baseline"/>
        <w:rPr>
          <w:rFonts w:eastAsia="等线"/>
          <w:b/>
          <w:bCs/>
          <w:kern w:val="0"/>
          <w:sz w:val="20"/>
          <w:szCs w:val="20"/>
        </w:rPr>
      </w:pPr>
      <w:r>
        <w:rPr>
          <w:rFonts w:eastAsia="宋体" w:hint="eastAsia"/>
          <w:b/>
          <w:bCs/>
          <w:kern w:val="0"/>
          <w:sz w:val="20"/>
          <w:szCs w:val="20"/>
        </w:rPr>
        <w:t xml:space="preserve">Option 2: Does not apply the initial BWP bandwidth based </w:t>
      </w:r>
      <w:r>
        <w:rPr>
          <w:rFonts w:eastAsia="宋体"/>
          <w:b/>
          <w:bCs/>
          <w:kern w:val="0"/>
          <w:sz w:val="20"/>
          <w:szCs w:val="20"/>
        </w:rPr>
        <w:t>“</w:t>
      </w:r>
      <w:r>
        <w:rPr>
          <w:rFonts w:eastAsia="宋体" w:hint="eastAsia"/>
          <w:b/>
          <w:bCs/>
          <w:kern w:val="0"/>
          <w:sz w:val="20"/>
          <w:szCs w:val="20"/>
        </w:rPr>
        <w:t>cell barring</w:t>
      </w:r>
      <w:r>
        <w:rPr>
          <w:rFonts w:eastAsia="宋体"/>
          <w:b/>
          <w:bCs/>
          <w:kern w:val="0"/>
          <w:sz w:val="20"/>
          <w:szCs w:val="20"/>
        </w:rPr>
        <w:t>”</w:t>
      </w:r>
      <w:r>
        <w:rPr>
          <w:rFonts w:eastAsia="宋体" w:hint="eastAsia"/>
          <w:b/>
          <w:bCs/>
          <w:kern w:val="0"/>
          <w:sz w:val="20"/>
          <w:szCs w:val="20"/>
        </w:rPr>
        <w:t xml:space="preserve"> </w:t>
      </w:r>
      <w:r>
        <w:rPr>
          <w:rFonts w:eastAsia="宋体" w:hint="eastAsia"/>
          <w:b/>
          <w:bCs/>
          <w:kern w:val="0"/>
          <w:sz w:val="20"/>
          <w:szCs w:val="20"/>
        </w:rPr>
        <w:t xml:space="preserve">evaluation for Redcap UE, and </w:t>
      </w:r>
      <w:r>
        <w:rPr>
          <w:rFonts w:eastAsia="等线" w:hint="eastAsia"/>
          <w:b/>
          <w:bCs/>
          <w:kern w:val="0"/>
          <w:sz w:val="20"/>
          <w:szCs w:val="20"/>
        </w:rPr>
        <w:t>network update the BWP configuration in Msg4.</w:t>
      </w:r>
    </w:p>
    <w:p w:rsidR="00FF43E6" w:rsidRDefault="003155C6">
      <w:pPr>
        <w:widowControl/>
        <w:overflowPunct w:val="0"/>
        <w:autoSpaceDE w:val="0"/>
        <w:autoSpaceDN w:val="0"/>
        <w:adjustRightInd w:val="0"/>
        <w:spacing w:after="120" w:line="240" w:lineRule="auto"/>
        <w:ind w:right="-96"/>
        <w:textAlignment w:val="baseline"/>
        <w:rPr>
          <w:rFonts w:eastAsia="宋体"/>
          <w:i/>
          <w:iCs/>
          <w:kern w:val="0"/>
          <w:sz w:val="20"/>
          <w:szCs w:val="20"/>
        </w:rPr>
      </w:pPr>
      <w:r>
        <w:rPr>
          <w:rFonts w:eastAsia="宋体" w:hint="eastAsia"/>
          <w:i/>
          <w:iCs/>
          <w:kern w:val="0"/>
          <w:sz w:val="20"/>
          <w:szCs w:val="20"/>
        </w:rPr>
        <w:t>On UE identification</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8: RedCap UE type is identified du</w:t>
      </w:r>
      <w:r>
        <w:rPr>
          <w:rFonts w:eastAsia="宋体" w:hint="eastAsia"/>
          <w:b/>
          <w:bCs/>
          <w:kern w:val="0"/>
          <w:sz w:val="20"/>
          <w:szCs w:val="20"/>
        </w:rPr>
        <w:t xml:space="preserve">ring Msg1/MsgA transmission </w:t>
      </w:r>
    </w:p>
    <w:p w:rsidR="00FF43E6" w:rsidRDefault="003155C6">
      <w:pPr>
        <w:widowControl/>
        <w:overflowPunct w:val="0"/>
        <w:autoSpaceDE w:val="0"/>
        <w:autoSpaceDN w:val="0"/>
        <w:adjustRightInd w:val="0"/>
        <w:spacing w:after="120" w:line="240" w:lineRule="auto"/>
        <w:ind w:right="-96"/>
        <w:textAlignment w:val="baseline"/>
        <w:rPr>
          <w:rFonts w:eastAsia="宋体"/>
          <w:i/>
          <w:iCs/>
          <w:kern w:val="0"/>
          <w:sz w:val="20"/>
          <w:szCs w:val="20"/>
        </w:rPr>
      </w:pPr>
      <w:r>
        <w:rPr>
          <w:rFonts w:eastAsia="宋体" w:hint="eastAsia"/>
          <w:i/>
          <w:iCs/>
          <w:kern w:val="0"/>
          <w:sz w:val="20"/>
          <w:szCs w:val="20"/>
        </w:rPr>
        <w:t>On UAC enhancement:</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 xml:space="preserve">Observation 2: In current NR UAC mechanism, access attempts with different Access Identities but same Access Category share the same barring information (barring time and barring factor) unless the baring </w:t>
      </w:r>
      <w:r>
        <w:rPr>
          <w:rFonts w:eastAsia="宋体" w:hint="eastAsia"/>
          <w:b/>
          <w:bCs/>
          <w:kern w:val="0"/>
          <w:sz w:val="20"/>
          <w:szCs w:val="20"/>
        </w:rPr>
        <w:t>configuration is not configured applicable to an Access Identity.</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lastRenderedPageBreak/>
        <w:t>Observation 3: By only defining new Access Identity for RedCap, the network cannot configure different barring information for RedCap UE and non-RedCap UE.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9: From RAN2</w:t>
      </w:r>
      <w:r>
        <w:rPr>
          <w:rFonts w:eastAsia="宋体"/>
          <w:b/>
          <w:bCs/>
          <w:kern w:val="0"/>
          <w:sz w:val="20"/>
          <w:szCs w:val="20"/>
        </w:rPr>
        <w:t>’</w:t>
      </w:r>
      <w:r>
        <w:rPr>
          <w:rFonts w:eastAsia="宋体" w:hint="eastAsia"/>
          <w:b/>
          <w:bCs/>
          <w:kern w:val="0"/>
          <w:sz w:val="20"/>
          <w:szCs w:val="20"/>
        </w:rPr>
        <w:t xml:space="preserve">s </w:t>
      </w:r>
      <w:r>
        <w:rPr>
          <w:rFonts w:eastAsia="宋体" w:hint="eastAsia"/>
          <w:b/>
          <w:bCs/>
          <w:kern w:val="0"/>
          <w:sz w:val="20"/>
          <w:szCs w:val="20"/>
        </w:rPr>
        <w:t>perspectiv</w:t>
      </w:r>
      <w:r>
        <w:rPr>
          <w:rFonts w:eastAsia="宋体" w:hint="eastAsia"/>
          <w:b/>
          <w:bCs/>
          <w:kern w:val="0"/>
          <w:sz w:val="20"/>
          <w:szCs w:val="20"/>
        </w:rPr>
        <w:t>e</w:t>
      </w:r>
      <w:r>
        <w:rPr>
          <w:rFonts w:eastAsia="宋体" w:hint="eastAsia"/>
          <w:b/>
          <w:bCs/>
          <w:kern w:val="0"/>
          <w:sz w:val="20"/>
          <w:szCs w:val="20"/>
        </w:rPr>
        <w:t>, it is preferred to introduce new Access categories for RedCap UEs.</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Proposal 10: Multiple Access Categories are defined to map different access attempts, to enable fine granular access control. The exact definition is discussed in normative phase.</w:t>
      </w:r>
    </w:p>
    <w:p w:rsidR="00FF43E6" w:rsidRDefault="003155C6">
      <w:pPr>
        <w:widowControl/>
        <w:overflowPunct w:val="0"/>
        <w:autoSpaceDE w:val="0"/>
        <w:autoSpaceDN w:val="0"/>
        <w:adjustRightInd w:val="0"/>
        <w:spacing w:beforeLines="50" w:before="156" w:after="120" w:line="240" w:lineRule="auto"/>
        <w:ind w:right="-96"/>
        <w:jc w:val="left"/>
        <w:textAlignment w:val="baseline"/>
        <w:rPr>
          <w:rFonts w:eastAsia="宋体"/>
          <w:b/>
          <w:bCs/>
          <w:kern w:val="0"/>
          <w:sz w:val="20"/>
          <w:szCs w:val="20"/>
        </w:rPr>
      </w:pPr>
      <w:r>
        <w:rPr>
          <w:rFonts w:eastAsia="宋体" w:hint="eastAsia"/>
          <w:b/>
          <w:bCs/>
          <w:kern w:val="0"/>
          <w:sz w:val="20"/>
          <w:szCs w:val="20"/>
        </w:rPr>
        <w:t>Propos</w:t>
      </w:r>
      <w:r>
        <w:rPr>
          <w:rFonts w:eastAsia="宋体" w:hint="eastAsia"/>
          <w:b/>
          <w:bCs/>
          <w:kern w:val="0"/>
          <w:sz w:val="20"/>
          <w:szCs w:val="20"/>
        </w:rPr>
        <w:t>al 11: Define a set of new standard Access Categories for RedCap UE.</w:t>
      </w:r>
      <w:bookmarkStart w:id="2" w:name="_GoBack"/>
      <w:bookmarkEnd w:id="2"/>
    </w:p>
    <w:p w:rsidR="00FF43E6" w:rsidRDefault="003155C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FF43E6" w:rsidRDefault="003155C6">
      <w:pPr>
        <w:pStyle w:val="References"/>
        <w:numPr>
          <w:ilvl w:val="0"/>
          <w:numId w:val="8"/>
        </w:numPr>
        <w:spacing w:beforeLines="0" w:before="0" w:afterLines="0" w:after="120" w:line="240" w:lineRule="auto"/>
        <w:rPr>
          <w:sz w:val="20"/>
          <w:szCs w:val="20"/>
          <w:lang w:eastAsia="ja-JP"/>
        </w:rPr>
      </w:pPr>
      <w:r>
        <w:rPr>
          <w:rFonts w:hint="eastAsia"/>
          <w:sz w:val="20"/>
          <w:szCs w:val="20"/>
        </w:rPr>
        <w:t>RAN2#111e chairman notes</w:t>
      </w:r>
    </w:p>
    <w:p w:rsidR="00FF43E6" w:rsidRDefault="003155C6">
      <w:pPr>
        <w:pStyle w:val="References"/>
        <w:numPr>
          <w:ilvl w:val="0"/>
          <w:numId w:val="8"/>
        </w:numPr>
        <w:spacing w:beforeLines="0" w:before="0" w:afterLines="0" w:after="120" w:line="240" w:lineRule="auto"/>
        <w:rPr>
          <w:sz w:val="20"/>
          <w:szCs w:val="20"/>
          <w:lang w:eastAsia="ja-JP"/>
        </w:rPr>
      </w:pPr>
      <w:r>
        <w:rPr>
          <w:rFonts w:hint="eastAsia"/>
          <w:sz w:val="20"/>
          <w:szCs w:val="20"/>
        </w:rPr>
        <w:t>RAN2#112-e chairman notes</w:t>
      </w:r>
    </w:p>
    <w:p w:rsidR="00FF43E6" w:rsidRDefault="003155C6">
      <w:pPr>
        <w:pStyle w:val="References"/>
        <w:numPr>
          <w:ilvl w:val="0"/>
          <w:numId w:val="8"/>
        </w:numPr>
        <w:spacing w:beforeLines="0" w:before="0" w:afterLines="0" w:after="120" w:line="240" w:lineRule="auto"/>
        <w:rPr>
          <w:sz w:val="20"/>
          <w:szCs w:val="20"/>
          <w:lang w:eastAsia="ja-JP"/>
        </w:rPr>
      </w:pPr>
      <w:r>
        <w:rPr>
          <w:rFonts w:hint="eastAsia"/>
          <w:sz w:val="20"/>
          <w:szCs w:val="20"/>
          <w:lang w:eastAsia="ja-JP"/>
        </w:rPr>
        <w:t>3GPP, TR 38.875, v1.0.</w:t>
      </w:r>
    </w:p>
    <w:p w:rsidR="00FF43E6" w:rsidRDefault="003155C6">
      <w:pPr>
        <w:pStyle w:val="References"/>
        <w:numPr>
          <w:ilvl w:val="0"/>
          <w:numId w:val="8"/>
        </w:numPr>
        <w:spacing w:beforeLines="0" w:before="0" w:afterLines="0" w:after="120" w:line="240" w:lineRule="auto"/>
        <w:rPr>
          <w:sz w:val="20"/>
          <w:szCs w:val="20"/>
          <w:lang w:eastAsia="ja-JP"/>
        </w:rPr>
      </w:pPr>
      <w:r>
        <w:rPr>
          <w:rFonts w:hint="eastAsia"/>
          <w:sz w:val="20"/>
          <w:szCs w:val="20"/>
        </w:rPr>
        <w:t>3GPP TS 38.331</w:t>
      </w:r>
    </w:p>
    <w:p w:rsidR="00FF43E6" w:rsidRDefault="00FF43E6">
      <w:pPr>
        <w:spacing w:line="240" w:lineRule="auto"/>
      </w:pPr>
    </w:p>
    <w:sectPr w:rsidR="00FF43E6">
      <w:headerReference w:type="even" r:id="rId9"/>
      <w:headerReference w:type="default" r:id="rId10"/>
      <w:footerReference w:type="even" r:id="rId11"/>
      <w:footerReference w:type="default" r:id="rId12"/>
      <w:headerReference w:type="first" r:id="rId13"/>
      <w:footerReference w:type="first" r:id="rId14"/>
      <w:pgSz w:w="11906" w:h="16838"/>
      <w:pgMar w:top="1416" w:right="1134" w:bottom="1133" w:left="11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5C6" w:rsidRDefault="003155C6">
      <w:pPr>
        <w:spacing w:after="0" w:line="240" w:lineRule="auto"/>
      </w:pPr>
      <w:r>
        <w:separator/>
      </w:r>
    </w:p>
  </w:endnote>
  <w:endnote w:type="continuationSeparator" w:id="0">
    <w:p w:rsidR="003155C6" w:rsidRDefault="00315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微软雅黑"/>
    <w:panose1 w:val="02010600030101010101"/>
    <w:charset w:val="86"/>
    <w:family w:val="auto"/>
    <w:pitch w:val="variable"/>
    <w:sig w:usb0="A00002BF" w:usb1="38CF7CFA" w:usb2="00000016" w:usb3="00000000" w:csb0="0004000F" w:csb1="00000000"/>
  </w:font>
  <w:font w:name="华文仿宋">
    <w:altName w:val="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12" w:rsidRDefault="00495D1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3E6" w:rsidRDefault="00FF43E6">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12" w:rsidRDefault="00495D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5C6" w:rsidRDefault="003155C6">
      <w:pPr>
        <w:spacing w:after="0" w:line="240" w:lineRule="auto"/>
      </w:pPr>
      <w:r>
        <w:separator/>
      </w:r>
    </w:p>
  </w:footnote>
  <w:footnote w:type="continuationSeparator" w:id="0">
    <w:p w:rsidR="003155C6" w:rsidRDefault="00315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12" w:rsidRDefault="00495D12">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3E6" w:rsidRDefault="00FF43E6">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D12" w:rsidRDefault="00495D1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F74245"/>
    <w:multiLevelType w:val="singleLevel"/>
    <w:tmpl w:val="EFF74245"/>
    <w:lvl w:ilvl="0">
      <w:start w:val="1"/>
      <w:numFmt w:val="bullet"/>
      <w:lvlText w:val=""/>
      <w:lvlJc w:val="left"/>
      <w:pPr>
        <w:tabs>
          <w:tab w:val="left" w:pos="840"/>
        </w:tabs>
        <w:ind w:left="126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52B7C1C"/>
    <w:multiLevelType w:val="multilevel"/>
    <w:tmpl w:val="052B7C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A47BDC4"/>
    <w:multiLevelType w:val="multilevel"/>
    <w:tmpl w:val="2A47BDC4"/>
    <w:lvl w:ilvl="0">
      <w:start w:val="1"/>
      <w:numFmt w:val="decimal"/>
      <w:lvlText w:val="%1."/>
      <w:lvlJc w:val="left"/>
      <w:pPr>
        <w:ind w:left="1619" w:hanging="360"/>
      </w:pPr>
      <w:rPr>
        <w:rFonts w:hint="default"/>
      </w:rPr>
    </w:lvl>
    <w:lvl w:ilvl="1">
      <w:start w:val="1"/>
      <w:numFmt w:val="lowerLetter"/>
      <w:lvlText w:val="%2."/>
      <w:lvlJc w:val="left"/>
      <w:pPr>
        <w:ind w:left="2339" w:hanging="360"/>
      </w:pPr>
      <w:rPr>
        <w:rFonts w:ascii="Arial" w:eastAsia="MS Mincho" w:hAnsi="Arial" w:cs="Times New Roman"/>
      </w:r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69BF0803"/>
    <w:multiLevelType w:val="multilevel"/>
    <w:tmpl w:val="69BF0803"/>
    <w:lvl w:ilvl="0">
      <w:start w:val="1"/>
      <w:numFmt w:val="decimal"/>
      <w:lvlText w:val="%1."/>
      <w:lvlJc w:val="left"/>
      <w:pPr>
        <w:ind w:left="1619" w:hanging="360"/>
      </w:pPr>
      <w:rPr>
        <w:rFonts w:hint="default"/>
      </w:rPr>
    </w:lvl>
    <w:lvl w:ilvl="1">
      <w:start w:val="1"/>
      <w:numFmt w:val="lowerLetter"/>
      <w:lvlText w:val="%2."/>
      <w:lvlJc w:val="left"/>
      <w:pPr>
        <w:ind w:left="2339" w:hanging="360"/>
      </w:pPr>
      <w:rPr>
        <w:rFonts w:ascii="Arial" w:eastAsia="MS Mincho" w:hAnsi="Arial" w:cs="Times New Roman"/>
      </w:r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1"/>
  </w:num>
  <w:num w:numId="2">
    <w:abstractNumId w:val="6"/>
  </w:num>
  <w:num w:numId="3">
    <w:abstractNumId w:val="3"/>
  </w:num>
  <w:num w:numId="4">
    <w:abstractNumId w:val="7"/>
  </w:num>
  <w:num w:numId="5">
    <w:abstractNumId w:val="0"/>
  </w:num>
  <w:num w:numId="6">
    <w:abstractNumId w:val="2"/>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7"/>
  <w:doNotDisplayPageBoundaries/>
  <w:defaultTabStop w:val="420"/>
  <w:hyphenationZone w:val="283"/>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0DDF"/>
    <w:rsid w:val="00035EF9"/>
    <w:rsid w:val="00037973"/>
    <w:rsid w:val="00040A63"/>
    <w:rsid w:val="0004105F"/>
    <w:rsid w:val="00042E6F"/>
    <w:rsid w:val="00043923"/>
    <w:rsid w:val="00043FCA"/>
    <w:rsid w:val="00045EDE"/>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55C6"/>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95D12"/>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910DD"/>
    <w:rsid w:val="005940C1"/>
    <w:rsid w:val="005952F9"/>
    <w:rsid w:val="0059566C"/>
    <w:rsid w:val="0059585E"/>
    <w:rsid w:val="005A3156"/>
    <w:rsid w:val="005A53DF"/>
    <w:rsid w:val="005A6185"/>
    <w:rsid w:val="005B052E"/>
    <w:rsid w:val="005B220B"/>
    <w:rsid w:val="005B2E19"/>
    <w:rsid w:val="005B66D2"/>
    <w:rsid w:val="005B7842"/>
    <w:rsid w:val="005C079B"/>
    <w:rsid w:val="005C1AC7"/>
    <w:rsid w:val="005C20A4"/>
    <w:rsid w:val="005C2356"/>
    <w:rsid w:val="005C2BE2"/>
    <w:rsid w:val="005C4B1B"/>
    <w:rsid w:val="005D57F1"/>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ABA"/>
    <w:rsid w:val="00BB4FEC"/>
    <w:rsid w:val="00BB65B1"/>
    <w:rsid w:val="00BB69D5"/>
    <w:rsid w:val="00BC03E1"/>
    <w:rsid w:val="00BC0A99"/>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DB9"/>
    <w:rsid w:val="00C621A1"/>
    <w:rsid w:val="00C62434"/>
    <w:rsid w:val="00C63153"/>
    <w:rsid w:val="00C63CB8"/>
    <w:rsid w:val="00C65327"/>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596F"/>
    <w:rsid w:val="00D56F3F"/>
    <w:rsid w:val="00D6103B"/>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3E6"/>
    <w:rsid w:val="00FF4B12"/>
    <w:rsid w:val="01096442"/>
    <w:rsid w:val="0119721B"/>
    <w:rsid w:val="01197935"/>
    <w:rsid w:val="011F7F9D"/>
    <w:rsid w:val="0125053D"/>
    <w:rsid w:val="01304D4E"/>
    <w:rsid w:val="01380404"/>
    <w:rsid w:val="013F3E46"/>
    <w:rsid w:val="014720D7"/>
    <w:rsid w:val="01485BB5"/>
    <w:rsid w:val="016429DB"/>
    <w:rsid w:val="016F2ED3"/>
    <w:rsid w:val="01720BE7"/>
    <w:rsid w:val="01792F09"/>
    <w:rsid w:val="017A54C1"/>
    <w:rsid w:val="017B3921"/>
    <w:rsid w:val="0180752F"/>
    <w:rsid w:val="01884E40"/>
    <w:rsid w:val="019676FB"/>
    <w:rsid w:val="019D5AF5"/>
    <w:rsid w:val="01A30E9F"/>
    <w:rsid w:val="01A97168"/>
    <w:rsid w:val="01AB7FE5"/>
    <w:rsid w:val="01AF01C6"/>
    <w:rsid w:val="01C07D9E"/>
    <w:rsid w:val="01C87131"/>
    <w:rsid w:val="01D10E16"/>
    <w:rsid w:val="01E561F2"/>
    <w:rsid w:val="01EA4673"/>
    <w:rsid w:val="01EC55BF"/>
    <w:rsid w:val="01F137C6"/>
    <w:rsid w:val="020A645C"/>
    <w:rsid w:val="020D4033"/>
    <w:rsid w:val="02107794"/>
    <w:rsid w:val="021251A1"/>
    <w:rsid w:val="0215044C"/>
    <w:rsid w:val="022243BF"/>
    <w:rsid w:val="023657C5"/>
    <w:rsid w:val="024D13D0"/>
    <w:rsid w:val="024E797F"/>
    <w:rsid w:val="02523310"/>
    <w:rsid w:val="02550ACE"/>
    <w:rsid w:val="025A3625"/>
    <w:rsid w:val="025B152B"/>
    <w:rsid w:val="02620859"/>
    <w:rsid w:val="02662787"/>
    <w:rsid w:val="026D73E1"/>
    <w:rsid w:val="0272361E"/>
    <w:rsid w:val="028A3B7A"/>
    <w:rsid w:val="028B4562"/>
    <w:rsid w:val="028D4AE3"/>
    <w:rsid w:val="0294748A"/>
    <w:rsid w:val="029C267D"/>
    <w:rsid w:val="029F2443"/>
    <w:rsid w:val="02A656F4"/>
    <w:rsid w:val="02AD4E04"/>
    <w:rsid w:val="02CA1FD3"/>
    <w:rsid w:val="02D329D4"/>
    <w:rsid w:val="02D8627A"/>
    <w:rsid w:val="02DA008E"/>
    <w:rsid w:val="02E010C8"/>
    <w:rsid w:val="02F04017"/>
    <w:rsid w:val="02F818C1"/>
    <w:rsid w:val="02FA50E6"/>
    <w:rsid w:val="0306294B"/>
    <w:rsid w:val="030856B5"/>
    <w:rsid w:val="03103EAA"/>
    <w:rsid w:val="032003F8"/>
    <w:rsid w:val="033F2C99"/>
    <w:rsid w:val="03401215"/>
    <w:rsid w:val="03425BF0"/>
    <w:rsid w:val="034900E0"/>
    <w:rsid w:val="035B721B"/>
    <w:rsid w:val="036B1ABD"/>
    <w:rsid w:val="037316F8"/>
    <w:rsid w:val="037C305D"/>
    <w:rsid w:val="037D4E69"/>
    <w:rsid w:val="038D52E8"/>
    <w:rsid w:val="03914293"/>
    <w:rsid w:val="039831CC"/>
    <w:rsid w:val="03A04F12"/>
    <w:rsid w:val="03A30FFE"/>
    <w:rsid w:val="03A8373A"/>
    <w:rsid w:val="03AA7096"/>
    <w:rsid w:val="03AD5DD2"/>
    <w:rsid w:val="03B754C1"/>
    <w:rsid w:val="03BA639A"/>
    <w:rsid w:val="03C36CDF"/>
    <w:rsid w:val="03CC0D26"/>
    <w:rsid w:val="03CC414F"/>
    <w:rsid w:val="03CD590F"/>
    <w:rsid w:val="03D03529"/>
    <w:rsid w:val="03D60D53"/>
    <w:rsid w:val="03DD4C8D"/>
    <w:rsid w:val="03DE1398"/>
    <w:rsid w:val="03EF7BA5"/>
    <w:rsid w:val="03F41686"/>
    <w:rsid w:val="04043AF0"/>
    <w:rsid w:val="040B192B"/>
    <w:rsid w:val="041503CF"/>
    <w:rsid w:val="041E3390"/>
    <w:rsid w:val="0428342F"/>
    <w:rsid w:val="04287C4B"/>
    <w:rsid w:val="042D72B2"/>
    <w:rsid w:val="043106BD"/>
    <w:rsid w:val="04360F4C"/>
    <w:rsid w:val="04484436"/>
    <w:rsid w:val="044A4632"/>
    <w:rsid w:val="047920A4"/>
    <w:rsid w:val="04793CE8"/>
    <w:rsid w:val="0479458D"/>
    <w:rsid w:val="047D5075"/>
    <w:rsid w:val="048D382F"/>
    <w:rsid w:val="04910D7C"/>
    <w:rsid w:val="049473D5"/>
    <w:rsid w:val="049E13F3"/>
    <w:rsid w:val="04AA2BD4"/>
    <w:rsid w:val="04AB7A37"/>
    <w:rsid w:val="04BD0D3B"/>
    <w:rsid w:val="04C068F1"/>
    <w:rsid w:val="04C10AF3"/>
    <w:rsid w:val="04CA76F0"/>
    <w:rsid w:val="04D4617B"/>
    <w:rsid w:val="04D96073"/>
    <w:rsid w:val="04E608F9"/>
    <w:rsid w:val="04E947B4"/>
    <w:rsid w:val="04F07ADF"/>
    <w:rsid w:val="05143D40"/>
    <w:rsid w:val="051A2788"/>
    <w:rsid w:val="051B25C3"/>
    <w:rsid w:val="053A3B2F"/>
    <w:rsid w:val="054D2766"/>
    <w:rsid w:val="057605B0"/>
    <w:rsid w:val="057C0BDA"/>
    <w:rsid w:val="057E44E3"/>
    <w:rsid w:val="057F2F0B"/>
    <w:rsid w:val="058B0B55"/>
    <w:rsid w:val="058E0AD9"/>
    <w:rsid w:val="05940110"/>
    <w:rsid w:val="05947283"/>
    <w:rsid w:val="05991ABC"/>
    <w:rsid w:val="05B20448"/>
    <w:rsid w:val="05B409FC"/>
    <w:rsid w:val="05B61AC5"/>
    <w:rsid w:val="05BB2C6F"/>
    <w:rsid w:val="05BC1280"/>
    <w:rsid w:val="05C14BE8"/>
    <w:rsid w:val="05C45A63"/>
    <w:rsid w:val="05CE1556"/>
    <w:rsid w:val="05CF7F1A"/>
    <w:rsid w:val="05E37EEE"/>
    <w:rsid w:val="05E64CC6"/>
    <w:rsid w:val="05EF07C9"/>
    <w:rsid w:val="06015A3C"/>
    <w:rsid w:val="06027EF5"/>
    <w:rsid w:val="060C0CA5"/>
    <w:rsid w:val="06110B74"/>
    <w:rsid w:val="061A315C"/>
    <w:rsid w:val="061B3FAC"/>
    <w:rsid w:val="06252B22"/>
    <w:rsid w:val="062C4BFA"/>
    <w:rsid w:val="063D613E"/>
    <w:rsid w:val="06466ED2"/>
    <w:rsid w:val="06480453"/>
    <w:rsid w:val="065A05CC"/>
    <w:rsid w:val="065B0926"/>
    <w:rsid w:val="06657C94"/>
    <w:rsid w:val="06694E5F"/>
    <w:rsid w:val="066E7A32"/>
    <w:rsid w:val="067361BA"/>
    <w:rsid w:val="06824FEB"/>
    <w:rsid w:val="068D0E30"/>
    <w:rsid w:val="068E167D"/>
    <w:rsid w:val="06903011"/>
    <w:rsid w:val="06945A2E"/>
    <w:rsid w:val="06955E83"/>
    <w:rsid w:val="069806F0"/>
    <w:rsid w:val="06AB2C5D"/>
    <w:rsid w:val="06AC249B"/>
    <w:rsid w:val="06BB0DCA"/>
    <w:rsid w:val="06BF01A7"/>
    <w:rsid w:val="06C71444"/>
    <w:rsid w:val="06D3751D"/>
    <w:rsid w:val="06D64C97"/>
    <w:rsid w:val="06D9595F"/>
    <w:rsid w:val="06DF2639"/>
    <w:rsid w:val="070133B2"/>
    <w:rsid w:val="07060253"/>
    <w:rsid w:val="070644F8"/>
    <w:rsid w:val="07080636"/>
    <w:rsid w:val="07080D1B"/>
    <w:rsid w:val="070F7F00"/>
    <w:rsid w:val="07185550"/>
    <w:rsid w:val="07283DE5"/>
    <w:rsid w:val="072940EF"/>
    <w:rsid w:val="074620B0"/>
    <w:rsid w:val="07477450"/>
    <w:rsid w:val="074D24C6"/>
    <w:rsid w:val="07507AAC"/>
    <w:rsid w:val="07510138"/>
    <w:rsid w:val="075626E1"/>
    <w:rsid w:val="076E4ECD"/>
    <w:rsid w:val="077450CC"/>
    <w:rsid w:val="078808A5"/>
    <w:rsid w:val="078E330A"/>
    <w:rsid w:val="07961E1E"/>
    <w:rsid w:val="07994594"/>
    <w:rsid w:val="07A05146"/>
    <w:rsid w:val="07AA222B"/>
    <w:rsid w:val="07AA5C4F"/>
    <w:rsid w:val="07B5421C"/>
    <w:rsid w:val="07CA2462"/>
    <w:rsid w:val="07D76797"/>
    <w:rsid w:val="07D77608"/>
    <w:rsid w:val="07D81AAE"/>
    <w:rsid w:val="07D90597"/>
    <w:rsid w:val="07DB1F23"/>
    <w:rsid w:val="07DF2FDB"/>
    <w:rsid w:val="07EB35D1"/>
    <w:rsid w:val="07FD6D5F"/>
    <w:rsid w:val="07FF6BD0"/>
    <w:rsid w:val="081969BF"/>
    <w:rsid w:val="081C616D"/>
    <w:rsid w:val="082323C7"/>
    <w:rsid w:val="082E44D1"/>
    <w:rsid w:val="08322FA7"/>
    <w:rsid w:val="08394D46"/>
    <w:rsid w:val="08533175"/>
    <w:rsid w:val="08540482"/>
    <w:rsid w:val="08572205"/>
    <w:rsid w:val="08616B5C"/>
    <w:rsid w:val="087059C4"/>
    <w:rsid w:val="087E10BE"/>
    <w:rsid w:val="08804573"/>
    <w:rsid w:val="08822ECE"/>
    <w:rsid w:val="088B6E79"/>
    <w:rsid w:val="08A72BF5"/>
    <w:rsid w:val="08AE1D52"/>
    <w:rsid w:val="08B22098"/>
    <w:rsid w:val="08C11EEF"/>
    <w:rsid w:val="08CA6B4A"/>
    <w:rsid w:val="08CB435D"/>
    <w:rsid w:val="08CF5689"/>
    <w:rsid w:val="08D17DCB"/>
    <w:rsid w:val="08DB3329"/>
    <w:rsid w:val="08DD3AA4"/>
    <w:rsid w:val="08E101B3"/>
    <w:rsid w:val="08EB3F64"/>
    <w:rsid w:val="08EE5989"/>
    <w:rsid w:val="08F41A0D"/>
    <w:rsid w:val="09010EDD"/>
    <w:rsid w:val="091C1DE5"/>
    <w:rsid w:val="09251CFD"/>
    <w:rsid w:val="092A1C90"/>
    <w:rsid w:val="092B21BF"/>
    <w:rsid w:val="09397414"/>
    <w:rsid w:val="093A3225"/>
    <w:rsid w:val="094659F8"/>
    <w:rsid w:val="094720D2"/>
    <w:rsid w:val="094B6487"/>
    <w:rsid w:val="09506A1B"/>
    <w:rsid w:val="095702D3"/>
    <w:rsid w:val="095948E7"/>
    <w:rsid w:val="09682998"/>
    <w:rsid w:val="096E34B0"/>
    <w:rsid w:val="09716533"/>
    <w:rsid w:val="09730519"/>
    <w:rsid w:val="09802F1E"/>
    <w:rsid w:val="0984773F"/>
    <w:rsid w:val="09953139"/>
    <w:rsid w:val="099A2FFA"/>
    <w:rsid w:val="09AD25DC"/>
    <w:rsid w:val="09AD4672"/>
    <w:rsid w:val="09AF3626"/>
    <w:rsid w:val="09BE22A3"/>
    <w:rsid w:val="09BE5AF5"/>
    <w:rsid w:val="09C02B44"/>
    <w:rsid w:val="09C635D4"/>
    <w:rsid w:val="09C85D67"/>
    <w:rsid w:val="09CF7D35"/>
    <w:rsid w:val="09D07554"/>
    <w:rsid w:val="09D4401A"/>
    <w:rsid w:val="09D6398F"/>
    <w:rsid w:val="09DD5183"/>
    <w:rsid w:val="09E30B75"/>
    <w:rsid w:val="09E347B4"/>
    <w:rsid w:val="09E702AB"/>
    <w:rsid w:val="09F15494"/>
    <w:rsid w:val="09F362DA"/>
    <w:rsid w:val="09F67490"/>
    <w:rsid w:val="09FB7DC3"/>
    <w:rsid w:val="0A047B3E"/>
    <w:rsid w:val="0A050ACA"/>
    <w:rsid w:val="0A1C1966"/>
    <w:rsid w:val="0A2012F9"/>
    <w:rsid w:val="0A230EE1"/>
    <w:rsid w:val="0A32165A"/>
    <w:rsid w:val="0A376299"/>
    <w:rsid w:val="0A39193C"/>
    <w:rsid w:val="0A577FA5"/>
    <w:rsid w:val="0A623082"/>
    <w:rsid w:val="0A633236"/>
    <w:rsid w:val="0A663491"/>
    <w:rsid w:val="0A684FFB"/>
    <w:rsid w:val="0A751DE3"/>
    <w:rsid w:val="0A770163"/>
    <w:rsid w:val="0A831131"/>
    <w:rsid w:val="0A8C3CA9"/>
    <w:rsid w:val="0A9866B8"/>
    <w:rsid w:val="0AA227A6"/>
    <w:rsid w:val="0AAD201C"/>
    <w:rsid w:val="0AB82155"/>
    <w:rsid w:val="0AB90F90"/>
    <w:rsid w:val="0ABD05FD"/>
    <w:rsid w:val="0AC107AB"/>
    <w:rsid w:val="0AD36590"/>
    <w:rsid w:val="0AD97A43"/>
    <w:rsid w:val="0AE2091B"/>
    <w:rsid w:val="0AE857C7"/>
    <w:rsid w:val="0AFF138C"/>
    <w:rsid w:val="0B132B49"/>
    <w:rsid w:val="0B183D0B"/>
    <w:rsid w:val="0B1F62A3"/>
    <w:rsid w:val="0B2725D9"/>
    <w:rsid w:val="0B2D130D"/>
    <w:rsid w:val="0B301306"/>
    <w:rsid w:val="0B413580"/>
    <w:rsid w:val="0B5A5645"/>
    <w:rsid w:val="0B5E0B66"/>
    <w:rsid w:val="0B60798A"/>
    <w:rsid w:val="0B631370"/>
    <w:rsid w:val="0B6E2B79"/>
    <w:rsid w:val="0B7A3A17"/>
    <w:rsid w:val="0B7E21AB"/>
    <w:rsid w:val="0B853A85"/>
    <w:rsid w:val="0B885890"/>
    <w:rsid w:val="0B8D0232"/>
    <w:rsid w:val="0B9161E5"/>
    <w:rsid w:val="0B986BDD"/>
    <w:rsid w:val="0BA3654E"/>
    <w:rsid w:val="0BA949B2"/>
    <w:rsid w:val="0BAD0D22"/>
    <w:rsid w:val="0BB32656"/>
    <w:rsid w:val="0BB41626"/>
    <w:rsid w:val="0BC64464"/>
    <w:rsid w:val="0BD73F2A"/>
    <w:rsid w:val="0BD90005"/>
    <w:rsid w:val="0BDA3ED2"/>
    <w:rsid w:val="0BEF4B2B"/>
    <w:rsid w:val="0C0756BF"/>
    <w:rsid w:val="0C264B96"/>
    <w:rsid w:val="0C3937F5"/>
    <w:rsid w:val="0C5068C5"/>
    <w:rsid w:val="0C561161"/>
    <w:rsid w:val="0C5838FE"/>
    <w:rsid w:val="0C686012"/>
    <w:rsid w:val="0C6D5B55"/>
    <w:rsid w:val="0C717D85"/>
    <w:rsid w:val="0C746CCF"/>
    <w:rsid w:val="0C78761E"/>
    <w:rsid w:val="0C7E74F0"/>
    <w:rsid w:val="0C8C452A"/>
    <w:rsid w:val="0C8C6D73"/>
    <w:rsid w:val="0C8D5B06"/>
    <w:rsid w:val="0C9357A8"/>
    <w:rsid w:val="0C98504D"/>
    <w:rsid w:val="0C9F5653"/>
    <w:rsid w:val="0CB44C57"/>
    <w:rsid w:val="0CB6590D"/>
    <w:rsid w:val="0CC2007A"/>
    <w:rsid w:val="0CC52B36"/>
    <w:rsid w:val="0CDB4889"/>
    <w:rsid w:val="0CF04D7C"/>
    <w:rsid w:val="0CF94478"/>
    <w:rsid w:val="0D06325D"/>
    <w:rsid w:val="0D145149"/>
    <w:rsid w:val="0D1A27A3"/>
    <w:rsid w:val="0D1C7DE1"/>
    <w:rsid w:val="0D21609D"/>
    <w:rsid w:val="0D225A01"/>
    <w:rsid w:val="0D225F51"/>
    <w:rsid w:val="0D2462BF"/>
    <w:rsid w:val="0D296530"/>
    <w:rsid w:val="0D2C37EA"/>
    <w:rsid w:val="0D355C04"/>
    <w:rsid w:val="0D4440D7"/>
    <w:rsid w:val="0D455663"/>
    <w:rsid w:val="0D467DC5"/>
    <w:rsid w:val="0D4A4383"/>
    <w:rsid w:val="0D524370"/>
    <w:rsid w:val="0D5E71AC"/>
    <w:rsid w:val="0D6E0B06"/>
    <w:rsid w:val="0D7E00DA"/>
    <w:rsid w:val="0D7F2E80"/>
    <w:rsid w:val="0D981D69"/>
    <w:rsid w:val="0D9D48DB"/>
    <w:rsid w:val="0D9E24B7"/>
    <w:rsid w:val="0DA106A6"/>
    <w:rsid w:val="0DA34B40"/>
    <w:rsid w:val="0DAC7851"/>
    <w:rsid w:val="0DB04EE0"/>
    <w:rsid w:val="0DBC7659"/>
    <w:rsid w:val="0DCB64A1"/>
    <w:rsid w:val="0DCF3416"/>
    <w:rsid w:val="0DDB69C3"/>
    <w:rsid w:val="0DDD498D"/>
    <w:rsid w:val="0DE149D6"/>
    <w:rsid w:val="0DE35839"/>
    <w:rsid w:val="0DF423F4"/>
    <w:rsid w:val="0E007CCB"/>
    <w:rsid w:val="0E0346AA"/>
    <w:rsid w:val="0E090268"/>
    <w:rsid w:val="0E096D38"/>
    <w:rsid w:val="0E0A382E"/>
    <w:rsid w:val="0E0E59EE"/>
    <w:rsid w:val="0E1E5186"/>
    <w:rsid w:val="0E322893"/>
    <w:rsid w:val="0E362A7B"/>
    <w:rsid w:val="0E3F3320"/>
    <w:rsid w:val="0E5943BF"/>
    <w:rsid w:val="0E5A0380"/>
    <w:rsid w:val="0E5D01EC"/>
    <w:rsid w:val="0E674054"/>
    <w:rsid w:val="0E6E039F"/>
    <w:rsid w:val="0E6E1AF1"/>
    <w:rsid w:val="0E741C25"/>
    <w:rsid w:val="0E8C6A6F"/>
    <w:rsid w:val="0E8D120F"/>
    <w:rsid w:val="0E8D3376"/>
    <w:rsid w:val="0E8E09A0"/>
    <w:rsid w:val="0E8E0EA3"/>
    <w:rsid w:val="0E9B0E1A"/>
    <w:rsid w:val="0EB92550"/>
    <w:rsid w:val="0EBB1479"/>
    <w:rsid w:val="0ED03DE9"/>
    <w:rsid w:val="0ED40483"/>
    <w:rsid w:val="0ED45A6F"/>
    <w:rsid w:val="0EDB60D8"/>
    <w:rsid w:val="0EE73313"/>
    <w:rsid w:val="0EF22955"/>
    <w:rsid w:val="0EFA18F2"/>
    <w:rsid w:val="0EFD6A0C"/>
    <w:rsid w:val="0F005FC7"/>
    <w:rsid w:val="0F030129"/>
    <w:rsid w:val="0F0F6F85"/>
    <w:rsid w:val="0F1303D9"/>
    <w:rsid w:val="0F1C5A04"/>
    <w:rsid w:val="0F253EE5"/>
    <w:rsid w:val="0F2A08FC"/>
    <w:rsid w:val="0F357090"/>
    <w:rsid w:val="0F374A83"/>
    <w:rsid w:val="0F3870C4"/>
    <w:rsid w:val="0F466704"/>
    <w:rsid w:val="0F665D7B"/>
    <w:rsid w:val="0F6969F0"/>
    <w:rsid w:val="0F6A7450"/>
    <w:rsid w:val="0F6F597A"/>
    <w:rsid w:val="0F7962E8"/>
    <w:rsid w:val="0F895BCC"/>
    <w:rsid w:val="0F8A6571"/>
    <w:rsid w:val="0F8B57CA"/>
    <w:rsid w:val="0F924692"/>
    <w:rsid w:val="0F9646B7"/>
    <w:rsid w:val="0F9C0577"/>
    <w:rsid w:val="0FA85D59"/>
    <w:rsid w:val="0FAC49C8"/>
    <w:rsid w:val="0FB14F97"/>
    <w:rsid w:val="0FB24728"/>
    <w:rsid w:val="0FC025D2"/>
    <w:rsid w:val="0FD76755"/>
    <w:rsid w:val="0FD76FAA"/>
    <w:rsid w:val="0FE5349C"/>
    <w:rsid w:val="0FE73AA0"/>
    <w:rsid w:val="0FEA41BD"/>
    <w:rsid w:val="0FF518FA"/>
    <w:rsid w:val="1009154C"/>
    <w:rsid w:val="100E4434"/>
    <w:rsid w:val="10146D39"/>
    <w:rsid w:val="1022572B"/>
    <w:rsid w:val="103A31BB"/>
    <w:rsid w:val="10446EAD"/>
    <w:rsid w:val="104A2F40"/>
    <w:rsid w:val="104D5A3C"/>
    <w:rsid w:val="10541A8A"/>
    <w:rsid w:val="105A5EB5"/>
    <w:rsid w:val="10771480"/>
    <w:rsid w:val="10810A46"/>
    <w:rsid w:val="108272E9"/>
    <w:rsid w:val="108351AE"/>
    <w:rsid w:val="10984953"/>
    <w:rsid w:val="10A4002B"/>
    <w:rsid w:val="10A665FC"/>
    <w:rsid w:val="10C0668A"/>
    <w:rsid w:val="10C640D7"/>
    <w:rsid w:val="10D945B4"/>
    <w:rsid w:val="10DC4226"/>
    <w:rsid w:val="110165A2"/>
    <w:rsid w:val="11062174"/>
    <w:rsid w:val="110872DC"/>
    <w:rsid w:val="11137A9F"/>
    <w:rsid w:val="11216F8F"/>
    <w:rsid w:val="11220330"/>
    <w:rsid w:val="11305185"/>
    <w:rsid w:val="113A020E"/>
    <w:rsid w:val="11447462"/>
    <w:rsid w:val="11516273"/>
    <w:rsid w:val="116F4829"/>
    <w:rsid w:val="116F6A19"/>
    <w:rsid w:val="11772542"/>
    <w:rsid w:val="117A5DA5"/>
    <w:rsid w:val="118B46BF"/>
    <w:rsid w:val="11907D6A"/>
    <w:rsid w:val="11933EAE"/>
    <w:rsid w:val="11955F3B"/>
    <w:rsid w:val="11970F4F"/>
    <w:rsid w:val="119C42FB"/>
    <w:rsid w:val="11A95120"/>
    <w:rsid w:val="11B9594A"/>
    <w:rsid w:val="11C40AF2"/>
    <w:rsid w:val="11C63544"/>
    <w:rsid w:val="11CE6CC4"/>
    <w:rsid w:val="11D95D2F"/>
    <w:rsid w:val="11DC29E2"/>
    <w:rsid w:val="11E1445B"/>
    <w:rsid w:val="1205772F"/>
    <w:rsid w:val="12146212"/>
    <w:rsid w:val="12164691"/>
    <w:rsid w:val="121B7D8C"/>
    <w:rsid w:val="121D0D6F"/>
    <w:rsid w:val="12271D82"/>
    <w:rsid w:val="122C3A07"/>
    <w:rsid w:val="122E46A4"/>
    <w:rsid w:val="12382167"/>
    <w:rsid w:val="1240097B"/>
    <w:rsid w:val="124A7AC8"/>
    <w:rsid w:val="124C6302"/>
    <w:rsid w:val="124D531E"/>
    <w:rsid w:val="12606768"/>
    <w:rsid w:val="12624A95"/>
    <w:rsid w:val="126B13C7"/>
    <w:rsid w:val="12714363"/>
    <w:rsid w:val="12717A64"/>
    <w:rsid w:val="12725796"/>
    <w:rsid w:val="12785D36"/>
    <w:rsid w:val="127974C9"/>
    <w:rsid w:val="127E23EF"/>
    <w:rsid w:val="12A753BA"/>
    <w:rsid w:val="12A76F1E"/>
    <w:rsid w:val="12B3775C"/>
    <w:rsid w:val="12B406F1"/>
    <w:rsid w:val="12B65E85"/>
    <w:rsid w:val="12B8590F"/>
    <w:rsid w:val="12C55D4F"/>
    <w:rsid w:val="12C57B41"/>
    <w:rsid w:val="12C9014D"/>
    <w:rsid w:val="12CD705E"/>
    <w:rsid w:val="12DE3A55"/>
    <w:rsid w:val="12E50DFA"/>
    <w:rsid w:val="12EF05A8"/>
    <w:rsid w:val="12FF4F47"/>
    <w:rsid w:val="13013944"/>
    <w:rsid w:val="1304495D"/>
    <w:rsid w:val="13057DAF"/>
    <w:rsid w:val="13094A4F"/>
    <w:rsid w:val="130E27D5"/>
    <w:rsid w:val="131941FF"/>
    <w:rsid w:val="131A609F"/>
    <w:rsid w:val="13294CAD"/>
    <w:rsid w:val="133A0628"/>
    <w:rsid w:val="1348230E"/>
    <w:rsid w:val="1349715D"/>
    <w:rsid w:val="13526217"/>
    <w:rsid w:val="13621162"/>
    <w:rsid w:val="136732AF"/>
    <w:rsid w:val="137B4A3F"/>
    <w:rsid w:val="138A0395"/>
    <w:rsid w:val="138C6BF0"/>
    <w:rsid w:val="13906103"/>
    <w:rsid w:val="139D08AD"/>
    <w:rsid w:val="13A20F21"/>
    <w:rsid w:val="13A97E7F"/>
    <w:rsid w:val="13AC5383"/>
    <w:rsid w:val="13B323FC"/>
    <w:rsid w:val="13B52CAB"/>
    <w:rsid w:val="13BD1B24"/>
    <w:rsid w:val="13C40D9D"/>
    <w:rsid w:val="13C453B0"/>
    <w:rsid w:val="13D41CF7"/>
    <w:rsid w:val="13D54E23"/>
    <w:rsid w:val="13EE52E6"/>
    <w:rsid w:val="13F15A54"/>
    <w:rsid w:val="13F851F8"/>
    <w:rsid w:val="13FD5C8B"/>
    <w:rsid w:val="14050187"/>
    <w:rsid w:val="140633EA"/>
    <w:rsid w:val="14080B75"/>
    <w:rsid w:val="140C033D"/>
    <w:rsid w:val="140D2A6D"/>
    <w:rsid w:val="14126B5B"/>
    <w:rsid w:val="141A2765"/>
    <w:rsid w:val="142B7F16"/>
    <w:rsid w:val="143275F7"/>
    <w:rsid w:val="1440139F"/>
    <w:rsid w:val="14491980"/>
    <w:rsid w:val="144F1FBD"/>
    <w:rsid w:val="145D583A"/>
    <w:rsid w:val="145E6FE8"/>
    <w:rsid w:val="14637AB5"/>
    <w:rsid w:val="14685BFD"/>
    <w:rsid w:val="147D5ADA"/>
    <w:rsid w:val="14816866"/>
    <w:rsid w:val="148B7313"/>
    <w:rsid w:val="148C25FE"/>
    <w:rsid w:val="1499714E"/>
    <w:rsid w:val="149A3E0B"/>
    <w:rsid w:val="14A40973"/>
    <w:rsid w:val="14C240B5"/>
    <w:rsid w:val="14C37EC8"/>
    <w:rsid w:val="14CE03FD"/>
    <w:rsid w:val="14D64D74"/>
    <w:rsid w:val="14D66EA6"/>
    <w:rsid w:val="14D73069"/>
    <w:rsid w:val="14E05C6E"/>
    <w:rsid w:val="14E16FF2"/>
    <w:rsid w:val="14E54C4A"/>
    <w:rsid w:val="14E75DF1"/>
    <w:rsid w:val="14E92F22"/>
    <w:rsid w:val="14E938EA"/>
    <w:rsid w:val="14EA068B"/>
    <w:rsid w:val="14F14335"/>
    <w:rsid w:val="15041D37"/>
    <w:rsid w:val="150A0CCA"/>
    <w:rsid w:val="15121CE7"/>
    <w:rsid w:val="15183F71"/>
    <w:rsid w:val="151C25FD"/>
    <w:rsid w:val="151C66B7"/>
    <w:rsid w:val="15213293"/>
    <w:rsid w:val="15282FE7"/>
    <w:rsid w:val="152C628F"/>
    <w:rsid w:val="1532059F"/>
    <w:rsid w:val="1539338D"/>
    <w:rsid w:val="153949A6"/>
    <w:rsid w:val="153C3427"/>
    <w:rsid w:val="153E5C2E"/>
    <w:rsid w:val="15432589"/>
    <w:rsid w:val="155203AB"/>
    <w:rsid w:val="15570AEE"/>
    <w:rsid w:val="15757C7F"/>
    <w:rsid w:val="1577642C"/>
    <w:rsid w:val="15786158"/>
    <w:rsid w:val="157D6C4E"/>
    <w:rsid w:val="158E5AEA"/>
    <w:rsid w:val="1595451C"/>
    <w:rsid w:val="159761FE"/>
    <w:rsid w:val="15985713"/>
    <w:rsid w:val="15A71257"/>
    <w:rsid w:val="15AB4DCA"/>
    <w:rsid w:val="15B03D1F"/>
    <w:rsid w:val="15BD3602"/>
    <w:rsid w:val="15D35913"/>
    <w:rsid w:val="15D714B4"/>
    <w:rsid w:val="15D95C76"/>
    <w:rsid w:val="15E07012"/>
    <w:rsid w:val="15F14DEF"/>
    <w:rsid w:val="160616A5"/>
    <w:rsid w:val="16083949"/>
    <w:rsid w:val="160C22E0"/>
    <w:rsid w:val="160F1A33"/>
    <w:rsid w:val="1619355A"/>
    <w:rsid w:val="161D0E3F"/>
    <w:rsid w:val="16264105"/>
    <w:rsid w:val="16294141"/>
    <w:rsid w:val="162B23EA"/>
    <w:rsid w:val="16311F49"/>
    <w:rsid w:val="16336BFB"/>
    <w:rsid w:val="163A20D3"/>
    <w:rsid w:val="163C5D48"/>
    <w:rsid w:val="163F34A8"/>
    <w:rsid w:val="164316B2"/>
    <w:rsid w:val="16442A8F"/>
    <w:rsid w:val="164E163A"/>
    <w:rsid w:val="164E62A2"/>
    <w:rsid w:val="165322A4"/>
    <w:rsid w:val="16590D1D"/>
    <w:rsid w:val="165E61EB"/>
    <w:rsid w:val="16680D09"/>
    <w:rsid w:val="16716037"/>
    <w:rsid w:val="16727717"/>
    <w:rsid w:val="167A19DE"/>
    <w:rsid w:val="167D5232"/>
    <w:rsid w:val="16804397"/>
    <w:rsid w:val="16855594"/>
    <w:rsid w:val="168C00F5"/>
    <w:rsid w:val="168C39C1"/>
    <w:rsid w:val="168E7022"/>
    <w:rsid w:val="16AC193B"/>
    <w:rsid w:val="16B310D0"/>
    <w:rsid w:val="16C40297"/>
    <w:rsid w:val="16C554F1"/>
    <w:rsid w:val="16C9047A"/>
    <w:rsid w:val="16D37F13"/>
    <w:rsid w:val="16D42B7A"/>
    <w:rsid w:val="17036CE0"/>
    <w:rsid w:val="17063096"/>
    <w:rsid w:val="171712F1"/>
    <w:rsid w:val="17187007"/>
    <w:rsid w:val="172569B1"/>
    <w:rsid w:val="17351D16"/>
    <w:rsid w:val="1735452E"/>
    <w:rsid w:val="17430DA8"/>
    <w:rsid w:val="175030CF"/>
    <w:rsid w:val="175C64EA"/>
    <w:rsid w:val="17651535"/>
    <w:rsid w:val="176E77A5"/>
    <w:rsid w:val="17743F61"/>
    <w:rsid w:val="17821F97"/>
    <w:rsid w:val="17985DF3"/>
    <w:rsid w:val="17991010"/>
    <w:rsid w:val="17995590"/>
    <w:rsid w:val="17AE5B77"/>
    <w:rsid w:val="17B40CB3"/>
    <w:rsid w:val="17B510F0"/>
    <w:rsid w:val="17BB327E"/>
    <w:rsid w:val="17BB63C6"/>
    <w:rsid w:val="17BF5676"/>
    <w:rsid w:val="17C24A0C"/>
    <w:rsid w:val="17C560B9"/>
    <w:rsid w:val="17C84709"/>
    <w:rsid w:val="17C948C0"/>
    <w:rsid w:val="17D41346"/>
    <w:rsid w:val="17D947ED"/>
    <w:rsid w:val="17E104D5"/>
    <w:rsid w:val="17E356DA"/>
    <w:rsid w:val="17E619BA"/>
    <w:rsid w:val="17F7533B"/>
    <w:rsid w:val="17F75390"/>
    <w:rsid w:val="17FB73DA"/>
    <w:rsid w:val="18143E48"/>
    <w:rsid w:val="182378A1"/>
    <w:rsid w:val="18300A1E"/>
    <w:rsid w:val="183160A6"/>
    <w:rsid w:val="18320839"/>
    <w:rsid w:val="18466AB8"/>
    <w:rsid w:val="18470890"/>
    <w:rsid w:val="184B6B17"/>
    <w:rsid w:val="184F02F0"/>
    <w:rsid w:val="18522A50"/>
    <w:rsid w:val="185A4E0B"/>
    <w:rsid w:val="187D4776"/>
    <w:rsid w:val="18800AAA"/>
    <w:rsid w:val="188469CF"/>
    <w:rsid w:val="188941B9"/>
    <w:rsid w:val="18912CA9"/>
    <w:rsid w:val="18AA5501"/>
    <w:rsid w:val="18AB5F2B"/>
    <w:rsid w:val="18B00B75"/>
    <w:rsid w:val="18B34B1D"/>
    <w:rsid w:val="18BB4D51"/>
    <w:rsid w:val="18E67E16"/>
    <w:rsid w:val="18F4078B"/>
    <w:rsid w:val="18FD1800"/>
    <w:rsid w:val="190252B8"/>
    <w:rsid w:val="1907709C"/>
    <w:rsid w:val="1909147A"/>
    <w:rsid w:val="19161F0A"/>
    <w:rsid w:val="191724BD"/>
    <w:rsid w:val="191C4933"/>
    <w:rsid w:val="19222E41"/>
    <w:rsid w:val="192B5D53"/>
    <w:rsid w:val="1930613B"/>
    <w:rsid w:val="19322D84"/>
    <w:rsid w:val="193C774B"/>
    <w:rsid w:val="194D319A"/>
    <w:rsid w:val="194D33E6"/>
    <w:rsid w:val="19530326"/>
    <w:rsid w:val="19553344"/>
    <w:rsid w:val="19596284"/>
    <w:rsid w:val="195B1C68"/>
    <w:rsid w:val="196E215C"/>
    <w:rsid w:val="196F3480"/>
    <w:rsid w:val="19703CC8"/>
    <w:rsid w:val="19775FAF"/>
    <w:rsid w:val="197E7EC1"/>
    <w:rsid w:val="198468C9"/>
    <w:rsid w:val="198E50F2"/>
    <w:rsid w:val="199A798E"/>
    <w:rsid w:val="199F6AEE"/>
    <w:rsid w:val="19A044BC"/>
    <w:rsid w:val="19A82739"/>
    <w:rsid w:val="19AC4BAF"/>
    <w:rsid w:val="19AE36B1"/>
    <w:rsid w:val="19B23D6D"/>
    <w:rsid w:val="19B91B04"/>
    <w:rsid w:val="19BA1B8F"/>
    <w:rsid w:val="19BA4A2B"/>
    <w:rsid w:val="19C1622F"/>
    <w:rsid w:val="19CC70E9"/>
    <w:rsid w:val="19DA5077"/>
    <w:rsid w:val="19E10E90"/>
    <w:rsid w:val="19E30A82"/>
    <w:rsid w:val="19E51344"/>
    <w:rsid w:val="1A0C09AE"/>
    <w:rsid w:val="1A0C2310"/>
    <w:rsid w:val="1A0F0344"/>
    <w:rsid w:val="1A196F03"/>
    <w:rsid w:val="1A1E30D8"/>
    <w:rsid w:val="1A351871"/>
    <w:rsid w:val="1A3E66A1"/>
    <w:rsid w:val="1A4F0195"/>
    <w:rsid w:val="1A50145F"/>
    <w:rsid w:val="1A5813B2"/>
    <w:rsid w:val="1A643357"/>
    <w:rsid w:val="1A690678"/>
    <w:rsid w:val="1A692C27"/>
    <w:rsid w:val="1A6F3A1A"/>
    <w:rsid w:val="1A750FC8"/>
    <w:rsid w:val="1A824D41"/>
    <w:rsid w:val="1A87085B"/>
    <w:rsid w:val="1A8C393D"/>
    <w:rsid w:val="1A8E5DD9"/>
    <w:rsid w:val="1A9D2CA2"/>
    <w:rsid w:val="1AAD6B87"/>
    <w:rsid w:val="1AB057E6"/>
    <w:rsid w:val="1AB6395C"/>
    <w:rsid w:val="1AB71181"/>
    <w:rsid w:val="1AC77744"/>
    <w:rsid w:val="1AD03F5C"/>
    <w:rsid w:val="1AD97F79"/>
    <w:rsid w:val="1ADE782E"/>
    <w:rsid w:val="1AE21FC3"/>
    <w:rsid w:val="1AE419DF"/>
    <w:rsid w:val="1AE66911"/>
    <w:rsid w:val="1AEC2E03"/>
    <w:rsid w:val="1AEF0251"/>
    <w:rsid w:val="1AF7EC7D"/>
    <w:rsid w:val="1AFD25D0"/>
    <w:rsid w:val="1B010F18"/>
    <w:rsid w:val="1B0F4977"/>
    <w:rsid w:val="1B133656"/>
    <w:rsid w:val="1B135EA1"/>
    <w:rsid w:val="1B14282F"/>
    <w:rsid w:val="1B15060C"/>
    <w:rsid w:val="1B1D1305"/>
    <w:rsid w:val="1B3F747E"/>
    <w:rsid w:val="1B417CF1"/>
    <w:rsid w:val="1B462550"/>
    <w:rsid w:val="1B4C6BD3"/>
    <w:rsid w:val="1B5101BF"/>
    <w:rsid w:val="1B5314F8"/>
    <w:rsid w:val="1B575D4C"/>
    <w:rsid w:val="1B655004"/>
    <w:rsid w:val="1B657EC3"/>
    <w:rsid w:val="1B6F118C"/>
    <w:rsid w:val="1B776BE1"/>
    <w:rsid w:val="1B79317C"/>
    <w:rsid w:val="1B7F1768"/>
    <w:rsid w:val="1B850160"/>
    <w:rsid w:val="1B855A77"/>
    <w:rsid w:val="1B8B10AC"/>
    <w:rsid w:val="1BAC2DFA"/>
    <w:rsid w:val="1BAD1BA9"/>
    <w:rsid w:val="1BB075AE"/>
    <w:rsid w:val="1BB10976"/>
    <w:rsid w:val="1BBB0BC8"/>
    <w:rsid w:val="1BBD0C1E"/>
    <w:rsid w:val="1BC45BEE"/>
    <w:rsid w:val="1BCF433C"/>
    <w:rsid w:val="1BD86593"/>
    <w:rsid w:val="1BEB4B53"/>
    <w:rsid w:val="1BF07ABE"/>
    <w:rsid w:val="1BF27673"/>
    <w:rsid w:val="1C1251B9"/>
    <w:rsid w:val="1C1E56D0"/>
    <w:rsid w:val="1C214EC8"/>
    <w:rsid w:val="1C316406"/>
    <w:rsid w:val="1C32098F"/>
    <w:rsid w:val="1C3215DD"/>
    <w:rsid w:val="1C352F88"/>
    <w:rsid w:val="1C394A3C"/>
    <w:rsid w:val="1C395A0F"/>
    <w:rsid w:val="1C4147AB"/>
    <w:rsid w:val="1C41556D"/>
    <w:rsid w:val="1C4C3E04"/>
    <w:rsid w:val="1C595287"/>
    <w:rsid w:val="1C676569"/>
    <w:rsid w:val="1C855368"/>
    <w:rsid w:val="1C9B2170"/>
    <w:rsid w:val="1C9C28E0"/>
    <w:rsid w:val="1CA17973"/>
    <w:rsid w:val="1CA513CD"/>
    <w:rsid w:val="1CAE6C4C"/>
    <w:rsid w:val="1CAF1F97"/>
    <w:rsid w:val="1CB30342"/>
    <w:rsid w:val="1CB42C0B"/>
    <w:rsid w:val="1CB43DD3"/>
    <w:rsid w:val="1CC05A03"/>
    <w:rsid w:val="1CC42ADD"/>
    <w:rsid w:val="1CC43B45"/>
    <w:rsid w:val="1CC7284E"/>
    <w:rsid w:val="1CC750B2"/>
    <w:rsid w:val="1CCB6270"/>
    <w:rsid w:val="1CD6543B"/>
    <w:rsid w:val="1CDA586D"/>
    <w:rsid w:val="1CE2303A"/>
    <w:rsid w:val="1CE81037"/>
    <w:rsid w:val="1CE85CD7"/>
    <w:rsid w:val="1CEA0B9B"/>
    <w:rsid w:val="1CF75682"/>
    <w:rsid w:val="1D132C89"/>
    <w:rsid w:val="1D1C0007"/>
    <w:rsid w:val="1D38238F"/>
    <w:rsid w:val="1D3A08A9"/>
    <w:rsid w:val="1D3F5138"/>
    <w:rsid w:val="1D43286A"/>
    <w:rsid w:val="1D543402"/>
    <w:rsid w:val="1D5B6A1C"/>
    <w:rsid w:val="1D6F4541"/>
    <w:rsid w:val="1D7F7380"/>
    <w:rsid w:val="1D837934"/>
    <w:rsid w:val="1D876168"/>
    <w:rsid w:val="1D8B1988"/>
    <w:rsid w:val="1D90042B"/>
    <w:rsid w:val="1D9E6E40"/>
    <w:rsid w:val="1DA1671D"/>
    <w:rsid w:val="1DAE2385"/>
    <w:rsid w:val="1DC735BA"/>
    <w:rsid w:val="1DCF713F"/>
    <w:rsid w:val="1DD424E3"/>
    <w:rsid w:val="1DD5485E"/>
    <w:rsid w:val="1DD64509"/>
    <w:rsid w:val="1DE05EB7"/>
    <w:rsid w:val="1DE5578F"/>
    <w:rsid w:val="1DE7226A"/>
    <w:rsid w:val="1DF278C9"/>
    <w:rsid w:val="1DFE5485"/>
    <w:rsid w:val="1E045AF5"/>
    <w:rsid w:val="1E084405"/>
    <w:rsid w:val="1E0F008B"/>
    <w:rsid w:val="1E1C551A"/>
    <w:rsid w:val="1E1FAE54"/>
    <w:rsid w:val="1E2D0F8F"/>
    <w:rsid w:val="1E2E0E20"/>
    <w:rsid w:val="1E305374"/>
    <w:rsid w:val="1E3304FD"/>
    <w:rsid w:val="1E3456A0"/>
    <w:rsid w:val="1E384F8E"/>
    <w:rsid w:val="1E3E6D55"/>
    <w:rsid w:val="1E416D39"/>
    <w:rsid w:val="1E427F2D"/>
    <w:rsid w:val="1E4C7D30"/>
    <w:rsid w:val="1E5B2356"/>
    <w:rsid w:val="1E615EB9"/>
    <w:rsid w:val="1E70717F"/>
    <w:rsid w:val="1E7D38DE"/>
    <w:rsid w:val="1E946DCB"/>
    <w:rsid w:val="1E9639DF"/>
    <w:rsid w:val="1EA7791D"/>
    <w:rsid w:val="1EAA108A"/>
    <w:rsid w:val="1EB41FAE"/>
    <w:rsid w:val="1EB70A9F"/>
    <w:rsid w:val="1EBF3882"/>
    <w:rsid w:val="1ECA5336"/>
    <w:rsid w:val="1ECB2732"/>
    <w:rsid w:val="1ED35C75"/>
    <w:rsid w:val="1EE5718A"/>
    <w:rsid w:val="1EEC0A59"/>
    <w:rsid w:val="1EF87CFB"/>
    <w:rsid w:val="1EFE3CD0"/>
    <w:rsid w:val="1F1141DF"/>
    <w:rsid w:val="1F1507AF"/>
    <w:rsid w:val="1F161863"/>
    <w:rsid w:val="1F2C1B1A"/>
    <w:rsid w:val="1F3F7E23"/>
    <w:rsid w:val="1F457D10"/>
    <w:rsid w:val="1F4810E2"/>
    <w:rsid w:val="1F510D58"/>
    <w:rsid w:val="1F523FDB"/>
    <w:rsid w:val="1F5814EC"/>
    <w:rsid w:val="1F5A5F97"/>
    <w:rsid w:val="1F5F7CC1"/>
    <w:rsid w:val="1F611DE1"/>
    <w:rsid w:val="1F6272E1"/>
    <w:rsid w:val="1F6645CB"/>
    <w:rsid w:val="1F673EE3"/>
    <w:rsid w:val="1F755100"/>
    <w:rsid w:val="1F846FC2"/>
    <w:rsid w:val="1F853B76"/>
    <w:rsid w:val="1F8B5595"/>
    <w:rsid w:val="1F8F163F"/>
    <w:rsid w:val="1FA27936"/>
    <w:rsid w:val="1FB140CE"/>
    <w:rsid w:val="1FB65C40"/>
    <w:rsid w:val="1FC021A3"/>
    <w:rsid w:val="1FC71E59"/>
    <w:rsid w:val="1FD37762"/>
    <w:rsid w:val="1FD52688"/>
    <w:rsid w:val="1FDC3DC6"/>
    <w:rsid w:val="1FE26ED4"/>
    <w:rsid w:val="1FEB7356"/>
    <w:rsid w:val="1FFE2B67"/>
    <w:rsid w:val="201D5F97"/>
    <w:rsid w:val="20216F69"/>
    <w:rsid w:val="20240391"/>
    <w:rsid w:val="20277CE5"/>
    <w:rsid w:val="2035397F"/>
    <w:rsid w:val="20377336"/>
    <w:rsid w:val="2043534D"/>
    <w:rsid w:val="20491EBE"/>
    <w:rsid w:val="20572AFF"/>
    <w:rsid w:val="20595D0A"/>
    <w:rsid w:val="20655733"/>
    <w:rsid w:val="2083155B"/>
    <w:rsid w:val="2093290B"/>
    <w:rsid w:val="209A1225"/>
    <w:rsid w:val="20A0523D"/>
    <w:rsid w:val="20A17229"/>
    <w:rsid w:val="20C74867"/>
    <w:rsid w:val="20D5188B"/>
    <w:rsid w:val="20DC6D0F"/>
    <w:rsid w:val="20E21EEF"/>
    <w:rsid w:val="20F9436E"/>
    <w:rsid w:val="211D76F3"/>
    <w:rsid w:val="211E4E7D"/>
    <w:rsid w:val="211F09CB"/>
    <w:rsid w:val="21242CB9"/>
    <w:rsid w:val="21280F6B"/>
    <w:rsid w:val="21283DC1"/>
    <w:rsid w:val="212978B3"/>
    <w:rsid w:val="212A36C8"/>
    <w:rsid w:val="2130301A"/>
    <w:rsid w:val="21393A9A"/>
    <w:rsid w:val="21432A77"/>
    <w:rsid w:val="214847F9"/>
    <w:rsid w:val="21557A9D"/>
    <w:rsid w:val="21704DBB"/>
    <w:rsid w:val="217A5ABE"/>
    <w:rsid w:val="21827B42"/>
    <w:rsid w:val="21973644"/>
    <w:rsid w:val="21A9661A"/>
    <w:rsid w:val="21C011EA"/>
    <w:rsid w:val="21D56E04"/>
    <w:rsid w:val="21DE0377"/>
    <w:rsid w:val="21E005EE"/>
    <w:rsid w:val="21E27902"/>
    <w:rsid w:val="21EA0742"/>
    <w:rsid w:val="21EF5C11"/>
    <w:rsid w:val="220157DA"/>
    <w:rsid w:val="22030EAC"/>
    <w:rsid w:val="220D7E69"/>
    <w:rsid w:val="22174B18"/>
    <w:rsid w:val="222370B4"/>
    <w:rsid w:val="22264CCB"/>
    <w:rsid w:val="22301279"/>
    <w:rsid w:val="22517F0E"/>
    <w:rsid w:val="22590288"/>
    <w:rsid w:val="22596827"/>
    <w:rsid w:val="226402E8"/>
    <w:rsid w:val="22652B4A"/>
    <w:rsid w:val="226E7F94"/>
    <w:rsid w:val="227232AB"/>
    <w:rsid w:val="22776456"/>
    <w:rsid w:val="227821CE"/>
    <w:rsid w:val="227C04B6"/>
    <w:rsid w:val="22886DA9"/>
    <w:rsid w:val="2290203C"/>
    <w:rsid w:val="22937DF2"/>
    <w:rsid w:val="22B30063"/>
    <w:rsid w:val="22C72970"/>
    <w:rsid w:val="22DB3FFB"/>
    <w:rsid w:val="22E53CFD"/>
    <w:rsid w:val="22E7591F"/>
    <w:rsid w:val="22E97CB3"/>
    <w:rsid w:val="22EC7149"/>
    <w:rsid w:val="22ED7FD3"/>
    <w:rsid w:val="22F6166E"/>
    <w:rsid w:val="22F83315"/>
    <w:rsid w:val="22FD4A68"/>
    <w:rsid w:val="23007B34"/>
    <w:rsid w:val="230C273D"/>
    <w:rsid w:val="230E0454"/>
    <w:rsid w:val="230E7096"/>
    <w:rsid w:val="231B5E49"/>
    <w:rsid w:val="231D14E3"/>
    <w:rsid w:val="23251C20"/>
    <w:rsid w:val="23260E77"/>
    <w:rsid w:val="23276B54"/>
    <w:rsid w:val="23281F36"/>
    <w:rsid w:val="232A1921"/>
    <w:rsid w:val="23360BBC"/>
    <w:rsid w:val="233A70D8"/>
    <w:rsid w:val="233C4B1C"/>
    <w:rsid w:val="23401125"/>
    <w:rsid w:val="234450DF"/>
    <w:rsid w:val="235A6AAE"/>
    <w:rsid w:val="2362243E"/>
    <w:rsid w:val="236607E9"/>
    <w:rsid w:val="2370287E"/>
    <w:rsid w:val="23703973"/>
    <w:rsid w:val="23741634"/>
    <w:rsid w:val="23843E70"/>
    <w:rsid w:val="2387396B"/>
    <w:rsid w:val="239409CD"/>
    <w:rsid w:val="23991C0B"/>
    <w:rsid w:val="23A30346"/>
    <w:rsid w:val="23A54981"/>
    <w:rsid w:val="23AF01E8"/>
    <w:rsid w:val="23AF5D19"/>
    <w:rsid w:val="23B70711"/>
    <w:rsid w:val="23BA05F7"/>
    <w:rsid w:val="23BA34CA"/>
    <w:rsid w:val="23BC4F39"/>
    <w:rsid w:val="23BD0351"/>
    <w:rsid w:val="23D0069E"/>
    <w:rsid w:val="23D81883"/>
    <w:rsid w:val="23DF13DF"/>
    <w:rsid w:val="23E46869"/>
    <w:rsid w:val="23E500F3"/>
    <w:rsid w:val="23FC3ECA"/>
    <w:rsid w:val="24025F41"/>
    <w:rsid w:val="240D7639"/>
    <w:rsid w:val="240D7A61"/>
    <w:rsid w:val="240E560E"/>
    <w:rsid w:val="240F60DE"/>
    <w:rsid w:val="241067B1"/>
    <w:rsid w:val="24165A65"/>
    <w:rsid w:val="24174A02"/>
    <w:rsid w:val="243B46E9"/>
    <w:rsid w:val="244348F0"/>
    <w:rsid w:val="24445E0D"/>
    <w:rsid w:val="246452B0"/>
    <w:rsid w:val="24651302"/>
    <w:rsid w:val="246764B6"/>
    <w:rsid w:val="246F5710"/>
    <w:rsid w:val="247300E2"/>
    <w:rsid w:val="24931657"/>
    <w:rsid w:val="24AE207B"/>
    <w:rsid w:val="24B505FC"/>
    <w:rsid w:val="24BB4F69"/>
    <w:rsid w:val="24CE74C8"/>
    <w:rsid w:val="24DA4B7A"/>
    <w:rsid w:val="24E2736D"/>
    <w:rsid w:val="24F139F0"/>
    <w:rsid w:val="24F21341"/>
    <w:rsid w:val="250C0B45"/>
    <w:rsid w:val="25150808"/>
    <w:rsid w:val="252156ED"/>
    <w:rsid w:val="25227435"/>
    <w:rsid w:val="252F6651"/>
    <w:rsid w:val="25310035"/>
    <w:rsid w:val="25385D54"/>
    <w:rsid w:val="253B3588"/>
    <w:rsid w:val="25495267"/>
    <w:rsid w:val="25541FF0"/>
    <w:rsid w:val="25613F4E"/>
    <w:rsid w:val="256849EF"/>
    <w:rsid w:val="2570020F"/>
    <w:rsid w:val="25722A7C"/>
    <w:rsid w:val="2577637B"/>
    <w:rsid w:val="257D0AB2"/>
    <w:rsid w:val="25805509"/>
    <w:rsid w:val="258F12C0"/>
    <w:rsid w:val="25952841"/>
    <w:rsid w:val="259E552F"/>
    <w:rsid w:val="25A05E89"/>
    <w:rsid w:val="25A401C9"/>
    <w:rsid w:val="25BE710A"/>
    <w:rsid w:val="25C524BB"/>
    <w:rsid w:val="25D216E5"/>
    <w:rsid w:val="25E2017B"/>
    <w:rsid w:val="25E80927"/>
    <w:rsid w:val="25E82752"/>
    <w:rsid w:val="25F255EE"/>
    <w:rsid w:val="26126107"/>
    <w:rsid w:val="261B7430"/>
    <w:rsid w:val="2624798C"/>
    <w:rsid w:val="26282A63"/>
    <w:rsid w:val="2628559C"/>
    <w:rsid w:val="263A5013"/>
    <w:rsid w:val="263B066E"/>
    <w:rsid w:val="263D3F60"/>
    <w:rsid w:val="2640565C"/>
    <w:rsid w:val="26421856"/>
    <w:rsid w:val="264F6681"/>
    <w:rsid w:val="26570FB2"/>
    <w:rsid w:val="265B640A"/>
    <w:rsid w:val="265B78B8"/>
    <w:rsid w:val="266034FD"/>
    <w:rsid w:val="2660406C"/>
    <w:rsid w:val="26677914"/>
    <w:rsid w:val="26686626"/>
    <w:rsid w:val="26705CAA"/>
    <w:rsid w:val="2679122C"/>
    <w:rsid w:val="267E3E85"/>
    <w:rsid w:val="268255B5"/>
    <w:rsid w:val="268801C1"/>
    <w:rsid w:val="268A5CB5"/>
    <w:rsid w:val="26940813"/>
    <w:rsid w:val="2696203B"/>
    <w:rsid w:val="26997A18"/>
    <w:rsid w:val="26A7407F"/>
    <w:rsid w:val="26A8187E"/>
    <w:rsid w:val="26AA0A4C"/>
    <w:rsid w:val="26AC2579"/>
    <w:rsid w:val="26AC64C2"/>
    <w:rsid w:val="26AF43AE"/>
    <w:rsid w:val="26B92C3F"/>
    <w:rsid w:val="26C44CE7"/>
    <w:rsid w:val="26D217E0"/>
    <w:rsid w:val="26D92D8E"/>
    <w:rsid w:val="26E756B5"/>
    <w:rsid w:val="26F26520"/>
    <w:rsid w:val="26F31712"/>
    <w:rsid w:val="26F43986"/>
    <w:rsid w:val="26F6579A"/>
    <w:rsid w:val="26FA4CD1"/>
    <w:rsid w:val="26FC669F"/>
    <w:rsid w:val="27027C2D"/>
    <w:rsid w:val="27081B1C"/>
    <w:rsid w:val="270D129F"/>
    <w:rsid w:val="270E14E3"/>
    <w:rsid w:val="27106BB1"/>
    <w:rsid w:val="271B60D2"/>
    <w:rsid w:val="271C0A64"/>
    <w:rsid w:val="272A06F4"/>
    <w:rsid w:val="27313F48"/>
    <w:rsid w:val="273406F8"/>
    <w:rsid w:val="27365397"/>
    <w:rsid w:val="2738087E"/>
    <w:rsid w:val="27384934"/>
    <w:rsid w:val="27472992"/>
    <w:rsid w:val="274C67BF"/>
    <w:rsid w:val="274C6D5B"/>
    <w:rsid w:val="274E7E60"/>
    <w:rsid w:val="275609F2"/>
    <w:rsid w:val="276224B4"/>
    <w:rsid w:val="276369EE"/>
    <w:rsid w:val="276E7795"/>
    <w:rsid w:val="27701A83"/>
    <w:rsid w:val="27843570"/>
    <w:rsid w:val="2789646D"/>
    <w:rsid w:val="278D3D9A"/>
    <w:rsid w:val="278E11AF"/>
    <w:rsid w:val="279948D8"/>
    <w:rsid w:val="279B10D3"/>
    <w:rsid w:val="279E5C87"/>
    <w:rsid w:val="27B21C24"/>
    <w:rsid w:val="27B37802"/>
    <w:rsid w:val="27C94471"/>
    <w:rsid w:val="27DB60E9"/>
    <w:rsid w:val="27E41D8E"/>
    <w:rsid w:val="27E54321"/>
    <w:rsid w:val="27E85A9A"/>
    <w:rsid w:val="27EE4106"/>
    <w:rsid w:val="28096E54"/>
    <w:rsid w:val="28186567"/>
    <w:rsid w:val="28200235"/>
    <w:rsid w:val="282C6EF7"/>
    <w:rsid w:val="282D2057"/>
    <w:rsid w:val="2830041B"/>
    <w:rsid w:val="28476ABB"/>
    <w:rsid w:val="284F66AA"/>
    <w:rsid w:val="28514A76"/>
    <w:rsid w:val="28514C8E"/>
    <w:rsid w:val="285B313F"/>
    <w:rsid w:val="285B6C9C"/>
    <w:rsid w:val="285F2C4D"/>
    <w:rsid w:val="28675CFF"/>
    <w:rsid w:val="286E5C29"/>
    <w:rsid w:val="28875BE0"/>
    <w:rsid w:val="28876A0B"/>
    <w:rsid w:val="288B0172"/>
    <w:rsid w:val="288B6CF1"/>
    <w:rsid w:val="289949FD"/>
    <w:rsid w:val="28A05C93"/>
    <w:rsid w:val="28AD4627"/>
    <w:rsid w:val="28B06C28"/>
    <w:rsid w:val="28B10906"/>
    <w:rsid w:val="28B55114"/>
    <w:rsid w:val="28C030A8"/>
    <w:rsid w:val="28C512D7"/>
    <w:rsid w:val="28C9127C"/>
    <w:rsid w:val="28D95D8B"/>
    <w:rsid w:val="28E61190"/>
    <w:rsid w:val="28E752D5"/>
    <w:rsid w:val="28E9382A"/>
    <w:rsid w:val="28F6119D"/>
    <w:rsid w:val="28F84057"/>
    <w:rsid w:val="28FB51D5"/>
    <w:rsid w:val="29056B61"/>
    <w:rsid w:val="29156420"/>
    <w:rsid w:val="292C4BAB"/>
    <w:rsid w:val="29352D99"/>
    <w:rsid w:val="293636BA"/>
    <w:rsid w:val="29516F3F"/>
    <w:rsid w:val="29564897"/>
    <w:rsid w:val="29654520"/>
    <w:rsid w:val="29667BC0"/>
    <w:rsid w:val="296F4930"/>
    <w:rsid w:val="29726463"/>
    <w:rsid w:val="297A7632"/>
    <w:rsid w:val="29803BE7"/>
    <w:rsid w:val="2994369B"/>
    <w:rsid w:val="2996198C"/>
    <w:rsid w:val="29966A96"/>
    <w:rsid w:val="29B85C4A"/>
    <w:rsid w:val="29BB3F57"/>
    <w:rsid w:val="29C47EB0"/>
    <w:rsid w:val="29D0680A"/>
    <w:rsid w:val="29D26A74"/>
    <w:rsid w:val="29D96505"/>
    <w:rsid w:val="29DC1BDB"/>
    <w:rsid w:val="29F71E6E"/>
    <w:rsid w:val="29F95C39"/>
    <w:rsid w:val="2A011E15"/>
    <w:rsid w:val="2A092278"/>
    <w:rsid w:val="2A0961A2"/>
    <w:rsid w:val="2A11602C"/>
    <w:rsid w:val="2A1C47DF"/>
    <w:rsid w:val="2A1D3BC2"/>
    <w:rsid w:val="2A212850"/>
    <w:rsid w:val="2A2A0D2C"/>
    <w:rsid w:val="2A2F7068"/>
    <w:rsid w:val="2A311ED8"/>
    <w:rsid w:val="2A37668E"/>
    <w:rsid w:val="2A3865D6"/>
    <w:rsid w:val="2A405FA8"/>
    <w:rsid w:val="2A5F0B13"/>
    <w:rsid w:val="2A5F7448"/>
    <w:rsid w:val="2A603EFB"/>
    <w:rsid w:val="2A650986"/>
    <w:rsid w:val="2A6D00D3"/>
    <w:rsid w:val="2A7C1EB9"/>
    <w:rsid w:val="2A7C43B4"/>
    <w:rsid w:val="2A83168E"/>
    <w:rsid w:val="2A8E1E4D"/>
    <w:rsid w:val="2AB66B90"/>
    <w:rsid w:val="2AB76103"/>
    <w:rsid w:val="2ABC778F"/>
    <w:rsid w:val="2AC432A5"/>
    <w:rsid w:val="2AC65B9C"/>
    <w:rsid w:val="2AC83817"/>
    <w:rsid w:val="2ACA284F"/>
    <w:rsid w:val="2ACA3407"/>
    <w:rsid w:val="2AD22E2C"/>
    <w:rsid w:val="2ADD3F34"/>
    <w:rsid w:val="2AE508E8"/>
    <w:rsid w:val="2AE5279A"/>
    <w:rsid w:val="2AE66E76"/>
    <w:rsid w:val="2AF35E52"/>
    <w:rsid w:val="2B146351"/>
    <w:rsid w:val="2B3544EF"/>
    <w:rsid w:val="2B384176"/>
    <w:rsid w:val="2B5318C5"/>
    <w:rsid w:val="2B691D02"/>
    <w:rsid w:val="2B72718E"/>
    <w:rsid w:val="2B76083A"/>
    <w:rsid w:val="2B762F4B"/>
    <w:rsid w:val="2B796DAB"/>
    <w:rsid w:val="2B7A16F9"/>
    <w:rsid w:val="2B7D489D"/>
    <w:rsid w:val="2B80231C"/>
    <w:rsid w:val="2B836B79"/>
    <w:rsid w:val="2B886BD8"/>
    <w:rsid w:val="2B8B787D"/>
    <w:rsid w:val="2B8D3F76"/>
    <w:rsid w:val="2B9D7E86"/>
    <w:rsid w:val="2BA42CDC"/>
    <w:rsid w:val="2BAB6119"/>
    <w:rsid w:val="2BBF4B0F"/>
    <w:rsid w:val="2BCE7B9E"/>
    <w:rsid w:val="2BD54B11"/>
    <w:rsid w:val="2BDE4D5B"/>
    <w:rsid w:val="2BEC36A5"/>
    <w:rsid w:val="2BF10A29"/>
    <w:rsid w:val="2C106FD0"/>
    <w:rsid w:val="2C166738"/>
    <w:rsid w:val="2C366FA7"/>
    <w:rsid w:val="2C375592"/>
    <w:rsid w:val="2C3A05CF"/>
    <w:rsid w:val="2C425D00"/>
    <w:rsid w:val="2C44296D"/>
    <w:rsid w:val="2C4D0258"/>
    <w:rsid w:val="2C575DC1"/>
    <w:rsid w:val="2C5E27F3"/>
    <w:rsid w:val="2C605D57"/>
    <w:rsid w:val="2C674032"/>
    <w:rsid w:val="2C732647"/>
    <w:rsid w:val="2C7B4651"/>
    <w:rsid w:val="2C7F49CE"/>
    <w:rsid w:val="2C8020DE"/>
    <w:rsid w:val="2C805741"/>
    <w:rsid w:val="2C863CAB"/>
    <w:rsid w:val="2C89295F"/>
    <w:rsid w:val="2C992409"/>
    <w:rsid w:val="2C9D6CE8"/>
    <w:rsid w:val="2CA91218"/>
    <w:rsid w:val="2CAA2F6C"/>
    <w:rsid w:val="2CAB1132"/>
    <w:rsid w:val="2CAB44BF"/>
    <w:rsid w:val="2CAE0F8F"/>
    <w:rsid w:val="2CAF2725"/>
    <w:rsid w:val="2CB3748F"/>
    <w:rsid w:val="2CB41CD9"/>
    <w:rsid w:val="2CC00534"/>
    <w:rsid w:val="2CC90231"/>
    <w:rsid w:val="2CDB636D"/>
    <w:rsid w:val="2CF26F28"/>
    <w:rsid w:val="2CF62C08"/>
    <w:rsid w:val="2CFF0334"/>
    <w:rsid w:val="2D0C0340"/>
    <w:rsid w:val="2D134014"/>
    <w:rsid w:val="2D1C41A2"/>
    <w:rsid w:val="2D1E43FD"/>
    <w:rsid w:val="2D256B4E"/>
    <w:rsid w:val="2D261309"/>
    <w:rsid w:val="2D292F9E"/>
    <w:rsid w:val="2D294CE4"/>
    <w:rsid w:val="2D2B1431"/>
    <w:rsid w:val="2D3A5FA1"/>
    <w:rsid w:val="2D3C73A5"/>
    <w:rsid w:val="2D4D24CE"/>
    <w:rsid w:val="2D5F7B29"/>
    <w:rsid w:val="2D735881"/>
    <w:rsid w:val="2D746F99"/>
    <w:rsid w:val="2D7A712B"/>
    <w:rsid w:val="2D7E6987"/>
    <w:rsid w:val="2D7F6F21"/>
    <w:rsid w:val="2D86070D"/>
    <w:rsid w:val="2D881029"/>
    <w:rsid w:val="2D8B22EE"/>
    <w:rsid w:val="2D8F2155"/>
    <w:rsid w:val="2D8F5892"/>
    <w:rsid w:val="2DB006BF"/>
    <w:rsid w:val="2DBA406C"/>
    <w:rsid w:val="2DC45FD4"/>
    <w:rsid w:val="2DC621A7"/>
    <w:rsid w:val="2DC80216"/>
    <w:rsid w:val="2DCC240B"/>
    <w:rsid w:val="2DD059B7"/>
    <w:rsid w:val="2DD14E37"/>
    <w:rsid w:val="2DDF67EA"/>
    <w:rsid w:val="2DEF3E00"/>
    <w:rsid w:val="2E08688E"/>
    <w:rsid w:val="2E0A2685"/>
    <w:rsid w:val="2E157475"/>
    <w:rsid w:val="2E192FCC"/>
    <w:rsid w:val="2E1C3B55"/>
    <w:rsid w:val="2E244B92"/>
    <w:rsid w:val="2E301A69"/>
    <w:rsid w:val="2E3110B1"/>
    <w:rsid w:val="2E441EA7"/>
    <w:rsid w:val="2E4F0764"/>
    <w:rsid w:val="2E517C79"/>
    <w:rsid w:val="2E5D254B"/>
    <w:rsid w:val="2E643DF7"/>
    <w:rsid w:val="2E647745"/>
    <w:rsid w:val="2E8050B8"/>
    <w:rsid w:val="2E924A35"/>
    <w:rsid w:val="2E966216"/>
    <w:rsid w:val="2E993CE6"/>
    <w:rsid w:val="2EB6442B"/>
    <w:rsid w:val="2EBA14BD"/>
    <w:rsid w:val="2EC36FC1"/>
    <w:rsid w:val="2EC84F94"/>
    <w:rsid w:val="2ECB010F"/>
    <w:rsid w:val="2ED11E06"/>
    <w:rsid w:val="2ED13AE9"/>
    <w:rsid w:val="2ED44C66"/>
    <w:rsid w:val="2ED57DC7"/>
    <w:rsid w:val="2EDC1585"/>
    <w:rsid w:val="2EDF365D"/>
    <w:rsid w:val="2EED54EB"/>
    <w:rsid w:val="2EF40F7D"/>
    <w:rsid w:val="2EFF48DB"/>
    <w:rsid w:val="2F0169B6"/>
    <w:rsid w:val="2F126BEA"/>
    <w:rsid w:val="2F162980"/>
    <w:rsid w:val="2F1F1B33"/>
    <w:rsid w:val="2F29088D"/>
    <w:rsid w:val="2F2C726E"/>
    <w:rsid w:val="2F332182"/>
    <w:rsid w:val="2F450F91"/>
    <w:rsid w:val="2F4B30E7"/>
    <w:rsid w:val="2F536A09"/>
    <w:rsid w:val="2F5628D9"/>
    <w:rsid w:val="2F570C04"/>
    <w:rsid w:val="2F68454B"/>
    <w:rsid w:val="2F6E5178"/>
    <w:rsid w:val="2F6F5435"/>
    <w:rsid w:val="2F7B229D"/>
    <w:rsid w:val="2F7E6712"/>
    <w:rsid w:val="2F7F0CBF"/>
    <w:rsid w:val="2FA03052"/>
    <w:rsid w:val="2FAB4398"/>
    <w:rsid w:val="2FB50AEE"/>
    <w:rsid w:val="2FBB63AA"/>
    <w:rsid w:val="2FCC1562"/>
    <w:rsid w:val="2FDE08C7"/>
    <w:rsid w:val="2FE06D13"/>
    <w:rsid w:val="2FEB469E"/>
    <w:rsid w:val="2FED38E7"/>
    <w:rsid w:val="2FED53E1"/>
    <w:rsid w:val="2FF1660F"/>
    <w:rsid w:val="2FF403A3"/>
    <w:rsid w:val="2FF77EC1"/>
    <w:rsid w:val="2FF8027E"/>
    <w:rsid w:val="300E0A3D"/>
    <w:rsid w:val="300E487C"/>
    <w:rsid w:val="30184366"/>
    <w:rsid w:val="301F186B"/>
    <w:rsid w:val="302E444D"/>
    <w:rsid w:val="30345AC5"/>
    <w:rsid w:val="30461FAA"/>
    <w:rsid w:val="304B465A"/>
    <w:rsid w:val="304F7724"/>
    <w:rsid w:val="305F2D07"/>
    <w:rsid w:val="306326A1"/>
    <w:rsid w:val="306B45E7"/>
    <w:rsid w:val="30796128"/>
    <w:rsid w:val="30874A80"/>
    <w:rsid w:val="308B2230"/>
    <w:rsid w:val="30956826"/>
    <w:rsid w:val="309A69AA"/>
    <w:rsid w:val="309E7671"/>
    <w:rsid w:val="30A26815"/>
    <w:rsid w:val="30A338F5"/>
    <w:rsid w:val="30A6727E"/>
    <w:rsid w:val="30A73838"/>
    <w:rsid w:val="30AF3D0C"/>
    <w:rsid w:val="30B9089F"/>
    <w:rsid w:val="30BD0BCE"/>
    <w:rsid w:val="30BD2FFB"/>
    <w:rsid w:val="30BE50CD"/>
    <w:rsid w:val="30C8016D"/>
    <w:rsid w:val="30CF4562"/>
    <w:rsid w:val="30D94684"/>
    <w:rsid w:val="30DD2263"/>
    <w:rsid w:val="30E57430"/>
    <w:rsid w:val="30EA7A7A"/>
    <w:rsid w:val="30F913DF"/>
    <w:rsid w:val="31006F16"/>
    <w:rsid w:val="31074D55"/>
    <w:rsid w:val="3112642B"/>
    <w:rsid w:val="311562EC"/>
    <w:rsid w:val="31160E7F"/>
    <w:rsid w:val="311624C1"/>
    <w:rsid w:val="31165308"/>
    <w:rsid w:val="311D695D"/>
    <w:rsid w:val="31450C09"/>
    <w:rsid w:val="314E0391"/>
    <w:rsid w:val="31616FE5"/>
    <w:rsid w:val="31721E0B"/>
    <w:rsid w:val="31785ADD"/>
    <w:rsid w:val="317A57AC"/>
    <w:rsid w:val="317E32A3"/>
    <w:rsid w:val="318F5DB3"/>
    <w:rsid w:val="319D5C34"/>
    <w:rsid w:val="31A22101"/>
    <w:rsid w:val="31BD68DA"/>
    <w:rsid w:val="31E155A2"/>
    <w:rsid w:val="31F0605E"/>
    <w:rsid w:val="31FD236D"/>
    <w:rsid w:val="31FF7536"/>
    <w:rsid w:val="32005795"/>
    <w:rsid w:val="320310B4"/>
    <w:rsid w:val="32083D35"/>
    <w:rsid w:val="32093793"/>
    <w:rsid w:val="320D7653"/>
    <w:rsid w:val="32167BBB"/>
    <w:rsid w:val="322A5531"/>
    <w:rsid w:val="32321BEB"/>
    <w:rsid w:val="32351B3E"/>
    <w:rsid w:val="3237359B"/>
    <w:rsid w:val="323B1921"/>
    <w:rsid w:val="325242C4"/>
    <w:rsid w:val="32620853"/>
    <w:rsid w:val="326B7E91"/>
    <w:rsid w:val="327721C3"/>
    <w:rsid w:val="328579B0"/>
    <w:rsid w:val="328C316C"/>
    <w:rsid w:val="329C7954"/>
    <w:rsid w:val="329F0F16"/>
    <w:rsid w:val="32A7229D"/>
    <w:rsid w:val="32AE667D"/>
    <w:rsid w:val="32B7102B"/>
    <w:rsid w:val="32B9185B"/>
    <w:rsid w:val="32BD7A4B"/>
    <w:rsid w:val="32C03874"/>
    <w:rsid w:val="32C44DF3"/>
    <w:rsid w:val="32C65A00"/>
    <w:rsid w:val="32CE2DF1"/>
    <w:rsid w:val="32CE6677"/>
    <w:rsid w:val="32D32043"/>
    <w:rsid w:val="32D867CA"/>
    <w:rsid w:val="32F317FF"/>
    <w:rsid w:val="32F67B4A"/>
    <w:rsid w:val="331338E1"/>
    <w:rsid w:val="33167610"/>
    <w:rsid w:val="33204B2D"/>
    <w:rsid w:val="332253D2"/>
    <w:rsid w:val="332F1DB0"/>
    <w:rsid w:val="33347CD7"/>
    <w:rsid w:val="334C4BFE"/>
    <w:rsid w:val="33512BBA"/>
    <w:rsid w:val="3359701A"/>
    <w:rsid w:val="33680696"/>
    <w:rsid w:val="337A4A67"/>
    <w:rsid w:val="339F2397"/>
    <w:rsid w:val="33A03FE1"/>
    <w:rsid w:val="33A25EC0"/>
    <w:rsid w:val="33A330F8"/>
    <w:rsid w:val="33A52101"/>
    <w:rsid w:val="33A75CAD"/>
    <w:rsid w:val="33B61D4D"/>
    <w:rsid w:val="33D5514C"/>
    <w:rsid w:val="33D66FD3"/>
    <w:rsid w:val="33E11323"/>
    <w:rsid w:val="33E814E6"/>
    <w:rsid w:val="340659C1"/>
    <w:rsid w:val="3414100B"/>
    <w:rsid w:val="342B1138"/>
    <w:rsid w:val="342B38C6"/>
    <w:rsid w:val="342E5A41"/>
    <w:rsid w:val="343D5CF3"/>
    <w:rsid w:val="3441009E"/>
    <w:rsid w:val="34675B85"/>
    <w:rsid w:val="34691D0C"/>
    <w:rsid w:val="348164DF"/>
    <w:rsid w:val="34865374"/>
    <w:rsid w:val="348867E6"/>
    <w:rsid w:val="34993B47"/>
    <w:rsid w:val="349F1F54"/>
    <w:rsid w:val="34A3241A"/>
    <w:rsid w:val="34A84C5A"/>
    <w:rsid w:val="34BF4788"/>
    <w:rsid w:val="34C23891"/>
    <w:rsid w:val="34CE4702"/>
    <w:rsid w:val="34F30DDF"/>
    <w:rsid w:val="3500692C"/>
    <w:rsid w:val="35011C38"/>
    <w:rsid w:val="350D0C3D"/>
    <w:rsid w:val="35216127"/>
    <w:rsid w:val="35251700"/>
    <w:rsid w:val="35274675"/>
    <w:rsid w:val="352D3401"/>
    <w:rsid w:val="353877D6"/>
    <w:rsid w:val="35394404"/>
    <w:rsid w:val="353D07AE"/>
    <w:rsid w:val="353D3231"/>
    <w:rsid w:val="3541284E"/>
    <w:rsid w:val="354A3362"/>
    <w:rsid w:val="354D1FEA"/>
    <w:rsid w:val="354F5D17"/>
    <w:rsid w:val="35504B73"/>
    <w:rsid w:val="35597700"/>
    <w:rsid w:val="355B42E2"/>
    <w:rsid w:val="355E1F06"/>
    <w:rsid w:val="356248FB"/>
    <w:rsid w:val="3565379D"/>
    <w:rsid w:val="35690796"/>
    <w:rsid w:val="357016FC"/>
    <w:rsid w:val="357903F7"/>
    <w:rsid w:val="3583678D"/>
    <w:rsid w:val="35843043"/>
    <w:rsid w:val="35912EFE"/>
    <w:rsid w:val="359B0A44"/>
    <w:rsid w:val="359C4064"/>
    <w:rsid w:val="35A07629"/>
    <w:rsid w:val="35A317A0"/>
    <w:rsid w:val="35B236AC"/>
    <w:rsid w:val="35CE4CCB"/>
    <w:rsid w:val="35D825FA"/>
    <w:rsid w:val="35E63728"/>
    <w:rsid w:val="35EA3A88"/>
    <w:rsid w:val="3620192F"/>
    <w:rsid w:val="36266D60"/>
    <w:rsid w:val="362A1EEA"/>
    <w:rsid w:val="363B2CB1"/>
    <w:rsid w:val="36517A0D"/>
    <w:rsid w:val="365600D8"/>
    <w:rsid w:val="366D6245"/>
    <w:rsid w:val="367132A2"/>
    <w:rsid w:val="36750E4C"/>
    <w:rsid w:val="3686296C"/>
    <w:rsid w:val="36AA3FE5"/>
    <w:rsid w:val="36AC4127"/>
    <w:rsid w:val="36AF3FF7"/>
    <w:rsid w:val="36B606BE"/>
    <w:rsid w:val="36BA1B53"/>
    <w:rsid w:val="36BC3900"/>
    <w:rsid w:val="36C05428"/>
    <w:rsid w:val="36CC33A4"/>
    <w:rsid w:val="36CD1672"/>
    <w:rsid w:val="36D22180"/>
    <w:rsid w:val="36DB1F22"/>
    <w:rsid w:val="36EC6196"/>
    <w:rsid w:val="37017F21"/>
    <w:rsid w:val="370D3CAC"/>
    <w:rsid w:val="371234AC"/>
    <w:rsid w:val="371342DE"/>
    <w:rsid w:val="37150CE4"/>
    <w:rsid w:val="37241DA0"/>
    <w:rsid w:val="3724772F"/>
    <w:rsid w:val="37262F0C"/>
    <w:rsid w:val="37274586"/>
    <w:rsid w:val="372E592F"/>
    <w:rsid w:val="37316AF1"/>
    <w:rsid w:val="3734417F"/>
    <w:rsid w:val="37402EFB"/>
    <w:rsid w:val="374D0B92"/>
    <w:rsid w:val="374F15F8"/>
    <w:rsid w:val="374F63FE"/>
    <w:rsid w:val="375678E1"/>
    <w:rsid w:val="37754104"/>
    <w:rsid w:val="37850E9E"/>
    <w:rsid w:val="37A14F49"/>
    <w:rsid w:val="37A64CEC"/>
    <w:rsid w:val="37A95F28"/>
    <w:rsid w:val="37AA6282"/>
    <w:rsid w:val="37B146C2"/>
    <w:rsid w:val="37C42344"/>
    <w:rsid w:val="37C90B83"/>
    <w:rsid w:val="37D76AD1"/>
    <w:rsid w:val="37DC42A3"/>
    <w:rsid w:val="37E23FE2"/>
    <w:rsid w:val="37E37BC3"/>
    <w:rsid w:val="37F046AF"/>
    <w:rsid w:val="37F711B1"/>
    <w:rsid w:val="37F905F3"/>
    <w:rsid w:val="37FA0C0D"/>
    <w:rsid w:val="381C2C44"/>
    <w:rsid w:val="382729D5"/>
    <w:rsid w:val="38294810"/>
    <w:rsid w:val="382F3E55"/>
    <w:rsid w:val="383303B2"/>
    <w:rsid w:val="38344E51"/>
    <w:rsid w:val="384F0E62"/>
    <w:rsid w:val="385174E5"/>
    <w:rsid w:val="38523D56"/>
    <w:rsid w:val="38591C77"/>
    <w:rsid w:val="385D38AC"/>
    <w:rsid w:val="385F1712"/>
    <w:rsid w:val="386B5D1F"/>
    <w:rsid w:val="386D08F1"/>
    <w:rsid w:val="38773A25"/>
    <w:rsid w:val="38957BA7"/>
    <w:rsid w:val="38962125"/>
    <w:rsid w:val="38965964"/>
    <w:rsid w:val="38A5432F"/>
    <w:rsid w:val="38B3345E"/>
    <w:rsid w:val="38CE6C87"/>
    <w:rsid w:val="38D019A4"/>
    <w:rsid w:val="38D259D6"/>
    <w:rsid w:val="38DA4A2A"/>
    <w:rsid w:val="38DE78EC"/>
    <w:rsid w:val="38DF7615"/>
    <w:rsid w:val="38E14FEF"/>
    <w:rsid w:val="38F210CC"/>
    <w:rsid w:val="38F5098C"/>
    <w:rsid w:val="38FE59EF"/>
    <w:rsid w:val="38FF0BF9"/>
    <w:rsid w:val="38FFE9D3"/>
    <w:rsid w:val="3914069A"/>
    <w:rsid w:val="392229AC"/>
    <w:rsid w:val="392253BD"/>
    <w:rsid w:val="39255F21"/>
    <w:rsid w:val="3926397A"/>
    <w:rsid w:val="392B3C0C"/>
    <w:rsid w:val="392D4E34"/>
    <w:rsid w:val="393677BA"/>
    <w:rsid w:val="39396EB7"/>
    <w:rsid w:val="3942743C"/>
    <w:rsid w:val="394617C2"/>
    <w:rsid w:val="394A11E1"/>
    <w:rsid w:val="394D01D7"/>
    <w:rsid w:val="395B470A"/>
    <w:rsid w:val="395C264D"/>
    <w:rsid w:val="39701D8F"/>
    <w:rsid w:val="39773B7D"/>
    <w:rsid w:val="39794E35"/>
    <w:rsid w:val="397A1735"/>
    <w:rsid w:val="397F5DBA"/>
    <w:rsid w:val="39867D0F"/>
    <w:rsid w:val="399D284F"/>
    <w:rsid w:val="39A02474"/>
    <w:rsid w:val="39A073B9"/>
    <w:rsid w:val="39A53ECA"/>
    <w:rsid w:val="39AA38BF"/>
    <w:rsid w:val="39B10EBB"/>
    <w:rsid w:val="39B80800"/>
    <w:rsid w:val="39BD67F8"/>
    <w:rsid w:val="39BE20EC"/>
    <w:rsid w:val="39C240A0"/>
    <w:rsid w:val="39C547D9"/>
    <w:rsid w:val="39D225B7"/>
    <w:rsid w:val="39D735C1"/>
    <w:rsid w:val="39D82302"/>
    <w:rsid w:val="39D82D1D"/>
    <w:rsid w:val="39E47822"/>
    <w:rsid w:val="39F13D28"/>
    <w:rsid w:val="39FB265F"/>
    <w:rsid w:val="3A010663"/>
    <w:rsid w:val="3A051944"/>
    <w:rsid w:val="3A063958"/>
    <w:rsid w:val="3A0B1968"/>
    <w:rsid w:val="3A0B38AA"/>
    <w:rsid w:val="3A164C99"/>
    <w:rsid w:val="3A165087"/>
    <w:rsid w:val="3A1A7A23"/>
    <w:rsid w:val="3A224DD3"/>
    <w:rsid w:val="3A292740"/>
    <w:rsid w:val="3A2C0F2C"/>
    <w:rsid w:val="3A300A32"/>
    <w:rsid w:val="3A361601"/>
    <w:rsid w:val="3A4211CB"/>
    <w:rsid w:val="3A595F7F"/>
    <w:rsid w:val="3A5C05E2"/>
    <w:rsid w:val="3A684FF4"/>
    <w:rsid w:val="3A6C61FC"/>
    <w:rsid w:val="3A6F388C"/>
    <w:rsid w:val="3A74152B"/>
    <w:rsid w:val="3A7640EA"/>
    <w:rsid w:val="3A782673"/>
    <w:rsid w:val="3A7E1292"/>
    <w:rsid w:val="3A7E7E4C"/>
    <w:rsid w:val="3A82459C"/>
    <w:rsid w:val="3A826454"/>
    <w:rsid w:val="3A8C6CCF"/>
    <w:rsid w:val="3A8D6FFE"/>
    <w:rsid w:val="3A8E0559"/>
    <w:rsid w:val="3A905190"/>
    <w:rsid w:val="3AA337B0"/>
    <w:rsid w:val="3AA72477"/>
    <w:rsid w:val="3AB5664B"/>
    <w:rsid w:val="3AC40A02"/>
    <w:rsid w:val="3AC56727"/>
    <w:rsid w:val="3AC613CB"/>
    <w:rsid w:val="3AC73DDA"/>
    <w:rsid w:val="3ADF437E"/>
    <w:rsid w:val="3AEB327E"/>
    <w:rsid w:val="3AFC6BB9"/>
    <w:rsid w:val="3B0231D9"/>
    <w:rsid w:val="3B067F4E"/>
    <w:rsid w:val="3B0D176F"/>
    <w:rsid w:val="3B1305E9"/>
    <w:rsid w:val="3B1E562D"/>
    <w:rsid w:val="3B2834F7"/>
    <w:rsid w:val="3B361E0C"/>
    <w:rsid w:val="3B4671A2"/>
    <w:rsid w:val="3B475351"/>
    <w:rsid w:val="3B4E3847"/>
    <w:rsid w:val="3B5051F8"/>
    <w:rsid w:val="3B5556D7"/>
    <w:rsid w:val="3B5B412A"/>
    <w:rsid w:val="3B5E6995"/>
    <w:rsid w:val="3B6400EA"/>
    <w:rsid w:val="3B687AC0"/>
    <w:rsid w:val="3B6B17FF"/>
    <w:rsid w:val="3B7544BA"/>
    <w:rsid w:val="3B7D22C6"/>
    <w:rsid w:val="3B7D4B29"/>
    <w:rsid w:val="3B9615D5"/>
    <w:rsid w:val="3B974779"/>
    <w:rsid w:val="3B996C7A"/>
    <w:rsid w:val="3B9E7343"/>
    <w:rsid w:val="3BA22A5B"/>
    <w:rsid w:val="3BAB275A"/>
    <w:rsid w:val="3BB36259"/>
    <w:rsid w:val="3BB96E80"/>
    <w:rsid w:val="3BBD69B9"/>
    <w:rsid w:val="3BBE741B"/>
    <w:rsid w:val="3BC12EE8"/>
    <w:rsid w:val="3BCB43EF"/>
    <w:rsid w:val="3BD27691"/>
    <w:rsid w:val="3BDF2B02"/>
    <w:rsid w:val="3BF85A5C"/>
    <w:rsid w:val="3BFA27E2"/>
    <w:rsid w:val="3C06086D"/>
    <w:rsid w:val="3C0B391C"/>
    <w:rsid w:val="3C0E4E82"/>
    <w:rsid w:val="3C0F02A4"/>
    <w:rsid w:val="3C145433"/>
    <w:rsid w:val="3C1753C1"/>
    <w:rsid w:val="3C1A7D35"/>
    <w:rsid w:val="3C1E08D4"/>
    <w:rsid w:val="3C235D12"/>
    <w:rsid w:val="3C321DB8"/>
    <w:rsid w:val="3C330F61"/>
    <w:rsid w:val="3C355916"/>
    <w:rsid w:val="3C475D58"/>
    <w:rsid w:val="3C4A7A90"/>
    <w:rsid w:val="3C50175B"/>
    <w:rsid w:val="3C517D0D"/>
    <w:rsid w:val="3C5410C8"/>
    <w:rsid w:val="3C557127"/>
    <w:rsid w:val="3C5E6590"/>
    <w:rsid w:val="3C674E03"/>
    <w:rsid w:val="3C6B6A63"/>
    <w:rsid w:val="3C6C07F3"/>
    <w:rsid w:val="3C7129B6"/>
    <w:rsid w:val="3C763DA4"/>
    <w:rsid w:val="3C7E7EB9"/>
    <w:rsid w:val="3C9760C5"/>
    <w:rsid w:val="3C984482"/>
    <w:rsid w:val="3C9A1155"/>
    <w:rsid w:val="3C9E0AF8"/>
    <w:rsid w:val="3CA37F62"/>
    <w:rsid w:val="3CAF71D3"/>
    <w:rsid w:val="3CB31CB8"/>
    <w:rsid w:val="3CBE181B"/>
    <w:rsid w:val="3CC87926"/>
    <w:rsid w:val="3CC92302"/>
    <w:rsid w:val="3CD60D50"/>
    <w:rsid w:val="3CE85B62"/>
    <w:rsid w:val="3CF738CA"/>
    <w:rsid w:val="3CFA61B1"/>
    <w:rsid w:val="3D2110F1"/>
    <w:rsid w:val="3D250D18"/>
    <w:rsid w:val="3D356DE3"/>
    <w:rsid w:val="3D3F0C2F"/>
    <w:rsid w:val="3D417DF2"/>
    <w:rsid w:val="3D4D77A0"/>
    <w:rsid w:val="3D4F618E"/>
    <w:rsid w:val="3D5309E3"/>
    <w:rsid w:val="3D61319E"/>
    <w:rsid w:val="3D69134E"/>
    <w:rsid w:val="3D6965B4"/>
    <w:rsid w:val="3D6B765E"/>
    <w:rsid w:val="3D73041F"/>
    <w:rsid w:val="3D796C9E"/>
    <w:rsid w:val="3D8706A1"/>
    <w:rsid w:val="3D9334FF"/>
    <w:rsid w:val="3D96046A"/>
    <w:rsid w:val="3D9C6AB7"/>
    <w:rsid w:val="3D9F15F1"/>
    <w:rsid w:val="3DA019FE"/>
    <w:rsid w:val="3DA66EC9"/>
    <w:rsid w:val="3DAA4418"/>
    <w:rsid w:val="3DB44122"/>
    <w:rsid w:val="3DBD3B4A"/>
    <w:rsid w:val="3DC119F1"/>
    <w:rsid w:val="3DC37750"/>
    <w:rsid w:val="3DC54C9E"/>
    <w:rsid w:val="3DEC2BCA"/>
    <w:rsid w:val="3DEF5BBE"/>
    <w:rsid w:val="3DF079B9"/>
    <w:rsid w:val="3DF50FC1"/>
    <w:rsid w:val="3DFC538A"/>
    <w:rsid w:val="3E01612D"/>
    <w:rsid w:val="3E096D1E"/>
    <w:rsid w:val="3E2E28D6"/>
    <w:rsid w:val="3E3728AA"/>
    <w:rsid w:val="3E3A382E"/>
    <w:rsid w:val="3E3A6D43"/>
    <w:rsid w:val="3E3C468F"/>
    <w:rsid w:val="3E3D6019"/>
    <w:rsid w:val="3E3F119F"/>
    <w:rsid w:val="3E442503"/>
    <w:rsid w:val="3E47643A"/>
    <w:rsid w:val="3E4923CA"/>
    <w:rsid w:val="3E4E7B33"/>
    <w:rsid w:val="3E551345"/>
    <w:rsid w:val="3E6E0D57"/>
    <w:rsid w:val="3E766DA5"/>
    <w:rsid w:val="3E767C7A"/>
    <w:rsid w:val="3E7A5493"/>
    <w:rsid w:val="3E8637A6"/>
    <w:rsid w:val="3EA10428"/>
    <w:rsid w:val="3EA4797A"/>
    <w:rsid w:val="3EB72D79"/>
    <w:rsid w:val="3EBA1353"/>
    <w:rsid w:val="3EBC6DF2"/>
    <w:rsid w:val="3EBE35D1"/>
    <w:rsid w:val="3ED35EA5"/>
    <w:rsid w:val="3EDF79EF"/>
    <w:rsid w:val="3EE7460D"/>
    <w:rsid w:val="3EEF4C7E"/>
    <w:rsid w:val="3F1E2615"/>
    <w:rsid w:val="3F1F4419"/>
    <w:rsid w:val="3F2057AF"/>
    <w:rsid w:val="3F250266"/>
    <w:rsid w:val="3F29398A"/>
    <w:rsid w:val="3F2F2302"/>
    <w:rsid w:val="3F33431F"/>
    <w:rsid w:val="3F334ADA"/>
    <w:rsid w:val="3F3B1639"/>
    <w:rsid w:val="3F40391D"/>
    <w:rsid w:val="3F47659D"/>
    <w:rsid w:val="3F5675F4"/>
    <w:rsid w:val="3F581628"/>
    <w:rsid w:val="3F680422"/>
    <w:rsid w:val="3F6B3D2C"/>
    <w:rsid w:val="3F821A48"/>
    <w:rsid w:val="3F934CA4"/>
    <w:rsid w:val="3F9419BD"/>
    <w:rsid w:val="3F962587"/>
    <w:rsid w:val="3F974EDB"/>
    <w:rsid w:val="3FA36A9A"/>
    <w:rsid w:val="3FA71E6D"/>
    <w:rsid w:val="3FA757A3"/>
    <w:rsid w:val="3FC53100"/>
    <w:rsid w:val="3FC540F6"/>
    <w:rsid w:val="3FC63B17"/>
    <w:rsid w:val="3FCE2E42"/>
    <w:rsid w:val="3FDB3DB8"/>
    <w:rsid w:val="3FEE48C6"/>
    <w:rsid w:val="3FF0769B"/>
    <w:rsid w:val="3FF14D96"/>
    <w:rsid w:val="3FF820F3"/>
    <w:rsid w:val="40094BF8"/>
    <w:rsid w:val="403D1345"/>
    <w:rsid w:val="404851E2"/>
    <w:rsid w:val="40555CC1"/>
    <w:rsid w:val="40582D76"/>
    <w:rsid w:val="406319DE"/>
    <w:rsid w:val="4064551B"/>
    <w:rsid w:val="406A591F"/>
    <w:rsid w:val="406C1CA9"/>
    <w:rsid w:val="406F1DE8"/>
    <w:rsid w:val="40724465"/>
    <w:rsid w:val="407D17DC"/>
    <w:rsid w:val="407E552A"/>
    <w:rsid w:val="408B4F3D"/>
    <w:rsid w:val="408C1B78"/>
    <w:rsid w:val="409764CE"/>
    <w:rsid w:val="40A56013"/>
    <w:rsid w:val="40AE055B"/>
    <w:rsid w:val="40B6274A"/>
    <w:rsid w:val="40BE04F0"/>
    <w:rsid w:val="40C67074"/>
    <w:rsid w:val="40CF0DB6"/>
    <w:rsid w:val="40DE0423"/>
    <w:rsid w:val="40E06C18"/>
    <w:rsid w:val="40E07C0F"/>
    <w:rsid w:val="40F17074"/>
    <w:rsid w:val="40F2595D"/>
    <w:rsid w:val="40FC1F19"/>
    <w:rsid w:val="41056B5C"/>
    <w:rsid w:val="410C6DFE"/>
    <w:rsid w:val="41147F42"/>
    <w:rsid w:val="411755AB"/>
    <w:rsid w:val="411A058F"/>
    <w:rsid w:val="411B4AD5"/>
    <w:rsid w:val="41224306"/>
    <w:rsid w:val="412E131E"/>
    <w:rsid w:val="414004A4"/>
    <w:rsid w:val="41454DB6"/>
    <w:rsid w:val="41491A69"/>
    <w:rsid w:val="415B3AEB"/>
    <w:rsid w:val="416042BB"/>
    <w:rsid w:val="41633413"/>
    <w:rsid w:val="41696E1F"/>
    <w:rsid w:val="416B0644"/>
    <w:rsid w:val="416B081F"/>
    <w:rsid w:val="416C6094"/>
    <w:rsid w:val="416F3038"/>
    <w:rsid w:val="41723D7C"/>
    <w:rsid w:val="417629EE"/>
    <w:rsid w:val="41814704"/>
    <w:rsid w:val="41886B5D"/>
    <w:rsid w:val="418D4946"/>
    <w:rsid w:val="418F4669"/>
    <w:rsid w:val="41916776"/>
    <w:rsid w:val="419253D3"/>
    <w:rsid w:val="419E7BF0"/>
    <w:rsid w:val="41A67E99"/>
    <w:rsid w:val="41A84D23"/>
    <w:rsid w:val="41AC2305"/>
    <w:rsid w:val="41BD5252"/>
    <w:rsid w:val="41C42ACA"/>
    <w:rsid w:val="41C512C7"/>
    <w:rsid w:val="41C63183"/>
    <w:rsid w:val="41CD12DF"/>
    <w:rsid w:val="41E35BBA"/>
    <w:rsid w:val="41E4373C"/>
    <w:rsid w:val="41F0066B"/>
    <w:rsid w:val="41FC26D5"/>
    <w:rsid w:val="42021AEF"/>
    <w:rsid w:val="42140778"/>
    <w:rsid w:val="42150BBA"/>
    <w:rsid w:val="421E5590"/>
    <w:rsid w:val="423A3416"/>
    <w:rsid w:val="423A582E"/>
    <w:rsid w:val="424A4812"/>
    <w:rsid w:val="42554D1D"/>
    <w:rsid w:val="42583354"/>
    <w:rsid w:val="42685541"/>
    <w:rsid w:val="42862A6E"/>
    <w:rsid w:val="42872353"/>
    <w:rsid w:val="428B2F7E"/>
    <w:rsid w:val="42A46372"/>
    <w:rsid w:val="42A64D22"/>
    <w:rsid w:val="42A65488"/>
    <w:rsid w:val="42A710F5"/>
    <w:rsid w:val="42A8492E"/>
    <w:rsid w:val="42AB42BF"/>
    <w:rsid w:val="42B94560"/>
    <w:rsid w:val="42BE5BFF"/>
    <w:rsid w:val="42C43EE6"/>
    <w:rsid w:val="42CC6449"/>
    <w:rsid w:val="42CE701B"/>
    <w:rsid w:val="42D84909"/>
    <w:rsid w:val="42D85DB7"/>
    <w:rsid w:val="42E354EC"/>
    <w:rsid w:val="42E832DE"/>
    <w:rsid w:val="42F82128"/>
    <w:rsid w:val="42FB7E7F"/>
    <w:rsid w:val="430C1D48"/>
    <w:rsid w:val="431959A0"/>
    <w:rsid w:val="431E6AF3"/>
    <w:rsid w:val="43205C7F"/>
    <w:rsid w:val="43257016"/>
    <w:rsid w:val="433665A7"/>
    <w:rsid w:val="433A363E"/>
    <w:rsid w:val="433D2C1C"/>
    <w:rsid w:val="43413B7B"/>
    <w:rsid w:val="43524555"/>
    <w:rsid w:val="43640F70"/>
    <w:rsid w:val="436A6A1E"/>
    <w:rsid w:val="436E51DA"/>
    <w:rsid w:val="438A7147"/>
    <w:rsid w:val="43904018"/>
    <w:rsid w:val="43922D92"/>
    <w:rsid w:val="439C6947"/>
    <w:rsid w:val="43A071B3"/>
    <w:rsid w:val="43B440EE"/>
    <w:rsid w:val="43B7275A"/>
    <w:rsid w:val="43BA2EBB"/>
    <w:rsid w:val="43C4213D"/>
    <w:rsid w:val="43C94826"/>
    <w:rsid w:val="43CC6F15"/>
    <w:rsid w:val="43DB704C"/>
    <w:rsid w:val="43DD2C11"/>
    <w:rsid w:val="43E244E9"/>
    <w:rsid w:val="43F34341"/>
    <w:rsid w:val="43FE33A9"/>
    <w:rsid w:val="440421E6"/>
    <w:rsid w:val="441032A4"/>
    <w:rsid w:val="441736D2"/>
    <w:rsid w:val="442723BC"/>
    <w:rsid w:val="4432125A"/>
    <w:rsid w:val="44416F13"/>
    <w:rsid w:val="44444E1E"/>
    <w:rsid w:val="44511364"/>
    <w:rsid w:val="445116BB"/>
    <w:rsid w:val="44516F3D"/>
    <w:rsid w:val="44591E98"/>
    <w:rsid w:val="445C01E0"/>
    <w:rsid w:val="4466573F"/>
    <w:rsid w:val="446D078E"/>
    <w:rsid w:val="446D757E"/>
    <w:rsid w:val="4471135F"/>
    <w:rsid w:val="44762A61"/>
    <w:rsid w:val="44783C36"/>
    <w:rsid w:val="447F0AD5"/>
    <w:rsid w:val="44960266"/>
    <w:rsid w:val="44983063"/>
    <w:rsid w:val="44A04F4D"/>
    <w:rsid w:val="44AB4AD4"/>
    <w:rsid w:val="44B1329D"/>
    <w:rsid w:val="44B41078"/>
    <w:rsid w:val="44B66E8A"/>
    <w:rsid w:val="44C11BD7"/>
    <w:rsid w:val="44C17F4F"/>
    <w:rsid w:val="44C517F1"/>
    <w:rsid w:val="44C70D28"/>
    <w:rsid w:val="44CC49A1"/>
    <w:rsid w:val="44D526F7"/>
    <w:rsid w:val="44D54EB1"/>
    <w:rsid w:val="44D74364"/>
    <w:rsid w:val="44DF740A"/>
    <w:rsid w:val="44E3053F"/>
    <w:rsid w:val="44E31CA5"/>
    <w:rsid w:val="44E46682"/>
    <w:rsid w:val="44E95CA8"/>
    <w:rsid w:val="44EE3D02"/>
    <w:rsid w:val="44F519C9"/>
    <w:rsid w:val="44F65A8A"/>
    <w:rsid w:val="44FB008F"/>
    <w:rsid w:val="44FC15E3"/>
    <w:rsid w:val="44FE3AD0"/>
    <w:rsid w:val="450C2611"/>
    <w:rsid w:val="45184270"/>
    <w:rsid w:val="452E1C3D"/>
    <w:rsid w:val="452F60B6"/>
    <w:rsid w:val="453C0CF4"/>
    <w:rsid w:val="453E3DBF"/>
    <w:rsid w:val="45496F5A"/>
    <w:rsid w:val="454E45B6"/>
    <w:rsid w:val="4550285E"/>
    <w:rsid w:val="45660800"/>
    <w:rsid w:val="4568423C"/>
    <w:rsid w:val="45694F1A"/>
    <w:rsid w:val="45785484"/>
    <w:rsid w:val="4578691E"/>
    <w:rsid w:val="4585414F"/>
    <w:rsid w:val="4586017D"/>
    <w:rsid w:val="458D0DD0"/>
    <w:rsid w:val="458E6E21"/>
    <w:rsid w:val="45920303"/>
    <w:rsid w:val="45941A86"/>
    <w:rsid w:val="45B02047"/>
    <w:rsid w:val="45B31CCF"/>
    <w:rsid w:val="45CA2B79"/>
    <w:rsid w:val="45CD6157"/>
    <w:rsid w:val="45CF6284"/>
    <w:rsid w:val="45D162FE"/>
    <w:rsid w:val="45F6736F"/>
    <w:rsid w:val="45FC0C31"/>
    <w:rsid w:val="45FC59F2"/>
    <w:rsid w:val="46076482"/>
    <w:rsid w:val="460A3E12"/>
    <w:rsid w:val="460C4392"/>
    <w:rsid w:val="461D4BCF"/>
    <w:rsid w:val="461F5BF5"/>
    <w:rsid w:val="462117F4"/>
    <w:rsid w:val="46262D84"/>
    <w:rsid w:val="462A474C"/>
    <w:rsid w:val="462C7DCA"/>
    <w:rsid w:val="462E6873"/>
    <w:rsid w:val="4631154C"/>
    <w:rsid w:val="46355262"/>
    <w:rsid w:val="463E0388"/>
    <w:rsid w:val="464030A9"/>
    <w:rsid w:val="46406F6B"/>
    <w:rsid w:val="464D6F6F"/>
    <w:rsid w:val="464F4EC7"/>
    <w:rsid w:val="465B524A"/>
    <w:rsid w:val="466005E1"/>
    <w:rsid w:val="46611681"/>
    <w:rsid w:val="466518EA"/>
    <w:rsid w:val="466977C9"/>
    <w:rsid w:val="466B2963"/>
    <w:rsid w:val="466B51E7"/>
    <w:rsid w:val="466F234F"/>
    <w:rsid w:val="467047C7"/>
    <w:rsid w:val="467119FD"/>
    <w:rsid w:val="467A6E56"/>
    <w:rsid w:val="467B4E0D"/>
    <w:rsid w:val="469626CC"/>
    <w:rsid w:val="46994237"/>
    <w:rsid w:val="469B1721"/>
    <w:rsid w:val="46A41925"/>
    <w:rsid w:val="46AF0B49"/>
    <w:rsid w:val="46B0629A"/>
    <w:rsid w:val="46B55A79"/>
    <w:rsid w:val="46B64789"/>
    <w:rsid w:val="46CA3D8F"/>
    <w:rsid w:val="46D11EDE"/>
    <w:rsid w:val="46D42941"/>
    <w:rsid w:val="46D74DAB"/>
    <w:rsid w:val="46DE0B3F"/>
    <w:rsid w:val="46DE28A9"/>
    <w:rsid w:val="46DE7056"/>
    <w:rsid w:val="46F31F04"/>
    <w:rsid w:val="46F45A75"/>
    <w:rsid w:val="46F90EF0"/>
    <w:rsid w:val="46FE07D4"/>
    <w:rsid w:val="4703731B"/>
    <w:rsid w:val="470B3E0F"/>
    <w:rsid w:val="470F1721"/>
    <w:rsid w:val="471C5027"/>
    <w:rsid w:val="47234C01"/>
    <w:rsid w:val="47236DA1"/>
    <w:rsid w:val="47301F42"/>
    <w:rsid w:val="473320A5"/>
    <w:rsid w:val="47382BE9"/>
    <w:rsid w:val="47422065"/>
    <w:rsid w:val="474661FE"/>
    <w:rsid w:val="475705C8"/>
    <w:rsid w:val="475D5B7C"/>
    <w:rsid w:val="475E2CBA"/>
    <w:rsid w:val="47661C07"/>
    <w:rsid w:val="477C1F7B"/>
    <w:rsid w:val="477E7DFD"/>
    <w:rsid w:val="478140BA"/>
    <w:rsid w:val="478B36BC"/>
    <w:rsid w:val="479272E6"/>
    <w:rsid w:val="479279DF"/>
    <w:rsid w:val="47A316DE"/>
    <w:rsid w:val="47A53B5A"/>
    <w:rsid w:val="47A84642"/>
    <w:rsid w:val="47B05089"/>
    <w:rsid w:val="47B526BB"/>
    <w:rsid w:val="47BB5E24"/>
    <w:rsid w:val="47BF13AF"/>
    <w:rsid w:val="47C70C5F"/>
    <w:rsid w:val="47CF5E61"/>
    <w:rsid w:val="47E5550D"/>
    <w:rsid w:val="47F076F5"/>
    <w:rsid w:val="480427DC"/>
    <w:rsid w:val="48125321"/>
    <w:rsid w:val="48125B63"/>
    <w:rsid w:val="48153D01"/>
    <w:rsid w:val="482228A5"/>
    <w:rsid w:val="48243F8E"/>
    <w:rsid w:val="482B6BD9"/>
    <w:rsid w:val="48353491"/>
    <w:rsid w:val="48392F47"/>
    <w:rsid w:val="484736E0"/>
    <w:rsid w:val="484A4DD7"/>
    <w:rsid w:val="48652B5D"/>
    <w:rsid w:val="4866784F"/>
    <w:rsid w:val="486D572D"/>
    <w:rsid w:val="48705D8B"/>
    <w:rsid w:val="48715B71"/>
    <w:rsid w:val="487648CB"/>
    <w:rsid w:val="487D066B"/>
    <w:rsid w:val="48AE7199"/>
    <w:rsid w:val="48BC7421"/>
    <w:rsid w:val="48C03058"/>
    <w:rsid w:val="48CA6BC4"/>
    <w:rsid w:val="48D47BC2"/>
    <w:rsid w:val="48E12681"/>
    <w:rsid w:val="48E1747E"/>
    <w:rsid w:val="48EA76B0"/>
    <w:rsid w:val="490B7FF8"/>
    <w:rsid w:val="490D0C51"/>
    <w:rsid w:val="49256F13"/>
    <w:rsid w:val="49337CF6"/>
    <w:rsid w:val="49436329"/>
    <w:rsid w:val="49473850"/>
    <w:rsid w:val="49482DFE"/>
    <w:rsid w:val="494A0FE3"/>
    <w:rsid w:val="494E17F4"/>
    <w:rsid w:val="495521F8"/>
    <w:rsid w:val="49565E96"/>
    <w:rsid w:val="49643EEC"/>
    <w:rsid w:val="496F10B6"/>
    <w:rsid w:val="497C5E18"/>
    <w:rsid w:val="49815A51"/>
    <w:rsid w:val="49862C60"/>
    <w:rsid w:val="498D28B4"/>
    <w:rsid w:val="498D3994"/>
    <w:rsid w:val="498F031D"/>
    <w:rsid w:val="499978B3"/>
    <w:rsid w:val="499F741B"/>
    <w:rsid w:val="49A73BAF"/>
    <w:rsid w:val="49A83292"/>
    <w:rsid w:val="49A91984"/>
    <w:rsid w:val="49AA465A"/>
    <w:rsid w:val="49B43FF2"/>
    <w:rsid w:val="49B806C3"/>
    <w:rsid w:val="49B94076"/>
    <w:rsid w:val="49BE2DCD"/>
    <w:rsid w:val="49D220AE"/>
    <w:rsid w:val="49D41C4F"/>
    <w:rsid w:val="49D657B2"/>
    <w:rsid w:val="49DF4AD9"/>
    <w:rsid w:val="49E37524"/>
    <w:rsid w:val="49E37D4C"/>
    <w:rsid w:val="49E60A50"/>
    <w:rsid w:val="49ED54E3"/>
    <w:rsid w:val="49F129F7"/>
    <w:rsid w:val="49FB01AB"/>
    <w:rsid w:val="49FB3249"/>
    <w:rsid w:val="49FC65A5"/>
    <w:rsid w:val="49FD427A"/>
    <w:rsid w:val="4A0111EF"/>
    <w:rsid w:val="4A0133A8"/>
    <w:rsid w:val="4A016790"/>
    <w:rsid w:val="4A114588"/>
    <w:rsid w:val="4A167F46"/>
    <w:rsid w:val="4A24027C"/>
    <w:rsid w:val="4A256FD9"/>
    <w:rsid w:val="4A26105D"/>
    <w:rsid w:val="4A310276"/>
    <w:rsid w:val="4A340BBE"/>
    <w:rsid w:val="4A3F70F6"/>
    <w:rsid w:val="4A451564"/>
    <w:rsid w:val="4A563F2C"/>
    <w:rsid w:val="4A571149"/>
    <w:rsid w:val="4A651FF5"/>
    <w:rsid w:val="4A7416A0"/>
    <w:rsid w:val="4A7504B4"/>
    <w:rsid w:val="4A8C270D"/>
    <w:rsid w:val="4A8D2C5C"/>
    <w:rsid w:val="4A952C27"/>
    <w:rsid w:val="4A9D7DB8"/>
    <w:rsid w:val="4A9F2953"/>
    <w:rsid w:val="4AA0458F"/>
    <w:rsid w:val="4AA61ECF"/>
    <w:rsid w:val="4AA71A88"/>
    <w:rsid w:val="4AA73C5B"/>
    <w:rsid w:val="4AA859CE"/>
    <w:rsid w:val="4ABB5C83"/>
    <w:rsid w:val="4ABD1694"/>
    <w:rsid w:val="4AC7663A"/>
    <w:rsid w:val="4AD859EC"/>
    <w:rsid w:val="4AE6320C"/>
    <w:rsid w:val="4AF0638F"/>
    <w:rsid w:val="4AF8129C"/>
    <w:rsid w:val="4AF85B33"/>
    <w:rsid w:val="4AFC16B3"/>
    <w:rsid w:val="4AFF25F5"/>
    <w:rsid w:val="4B1E67B0"/>
    <w:rsid w:val="4B25424E"/>
    <w:rsid w:val="4B3041B4"/>
    <w:rsid w:val="4B3C7B78"/>
    <w:rsid w:val="4B4D60CB"/>
    <w:rsid w:val="4B5053B2"/>
    <w:rsid w:val="4B525616"/>
    <w:rsid w:val="4B705243"/>
    <w:rsid w:val="4B722FF2"/>
    <w:rsid w:val="4B877CD9"/>
    <w:rsid w:val="4B92208C"/>
    <w:rsid w:val="4B9F73F3"/>
    <w:rsid w:val="4BA65EAC"/>
    <w:rsid w:val="4BAB351E"/>
    <w:rsid w:val="4BB006E5"/>
    <w:rsid w:val="4BB059A0"/>
    <w:rsid w:val="4BB40B5A"/>
    <w:rsid w:val="4BB5717A"/>
    <w:rsid w:val="4BB86C39"/>
    <w:rsid w:val="4BC402A7"/>
    <w:rsid w:val="4BCB5122"/>
    <w:rsid w:val="4BE866ED"/>
    <w:rsid w:val="4BF50EA7"/>
    <w:rsid w:val="4BFA1E0D"/>
    <w:rsid w:val="4C030FCF"/>
    <w:rsid w:val="4C0F5A9B"/>
    <w:rsid w:val="4C170747"/>
    <w:rsid w:val="4C223E41"/>
    <w:rsid w:val="4C3861BB"/>
    <w:rsid w:val="4C4854D1"/>
    <w:rsid w:val="4C4A4856"/>
    <w:rsid w:val="4C584337"/>
    <w:rsid w:val="4C5947E7"/>
    <w:rsid w:val="4C5967F8"/>
    <w:rsid w:val="4C5C7E48"/>
    <w:rsid w:val="4C5D198D"/>
    <w:rsid w:val="4C5F7A0B"/>
    <w:rsid w:val="4C641376"/>
    <w:rsid w:val="4C707DE8"/>
    <w:rsid w:val="4C722FAA"/>
    <w:rsid w:val="4C72369F"/>
    <w:rsid w:val="4C735236"/>
    <w:rsid w:val="4C7F2426"/>
    <w:rsid w:val="4C8820DD"/>
    <w:rsid w:val="4C8F0DE9"/>
    <w:rsid w:val="4C963539"/>
    <w:rsid w:val="4CA05C46"/>
    <w:rsid w:val="4CA25753"/>
    <w:rsid w:val="4CAD1839"/>
    <w:rsid w:val="4CB32B27"/>
    <w:rsid w:val="4CBD796F"/>
    <w:rsid w:val="4CC13489"/>
    <w:rsid w:val="4CC85671"/>
    <w:rsid w:val="4CD859E2"/>
    <w:rsid w:val="4CDC7533"/>
    <w:rsid w:val="4CE408C7"/>
    <w:rsid w:val="4CEB650D"/>
    <w:rsid w:val="4CF32D42"/>
    <w:rsid w:val="4CF36B85"/>
    <w:rsid w:val="4CF82924"/>
    <w:rsid w:val="4CFB123B"/>
    <w:rsid w:val="4D00374B"/>
    <w:rsid w:val="4D0A756C"/>
    <w:rsid w:val="4D135344"/>
    <w:rsid w:val="4D135E34"/>
    <w:rsid w:val="4D142D34"/>
    <w:rsid w:val="4D1D0596"/>
    <w:rsid w:val="4D2C0F5D"/>
    <w:rsid w:val="4D2E3AAB"/>
    <w:rsid w:val="4D391AFD"/>
    <w:rsid w:val="4D41297D"/>
    <w:rsid w:val="4D422CD3"/>
    <w:rsid w:val="4D432B7D"/>
    <w:rsid w:val="4D4B0234"/>
    <w:rsid w:val="4D5071D3"/>
    <w:rsid w:val="4D5901E2"/>
    <w:rsid w:val="4D6F5EA2"/>
    <w:rsid w:val="4D76358D"/>
    <w:rsid w:val="4D8D76CF"/>
    <w:rsid w:val="4D987929"/>
    <w:rsid w:val="4D9952C2"/>
    <w:rsid w:val="4DA2126A"/>
    <w:rsid w:val="4DB12BD1"/>
    <w:rsid w:val="4DB20CFB"/>
    <w:rsid w:val="4DB53485"/>
    <w:rsid w:val="4DBF302C"/>
    <w:rsid w:val="4DD27F5A"/>
    <w:rsid w:val="4DD331F5"/>
    <w:rsid w:val="4DD55A3D"/>
    <w:rsid w:val="4DDA256B"/>
    <w:rsid w:val="4DDF73E7"/>
    <w:rsid w:val="4DEC51D0"/>
    <w:rsid w:val="4DF435F0"/>
    <w:rsid w:val="4DF7582C"/>
    <w:rsid w:val="4DF874CF"/>
    <w:rsid w:val="4E0849B8"/>
    <w:rsid w:val="4E105EE3"/>
    <w:rsid w:val="4E267CF0"/>
    <w:rsid w:val="4E287A94"/>
    <w:rsid w:val="4E2F1F4C"/>
    <w:rsid w:val="4E304569"/>
    <w:rsid w:val="4E4B3EE3"/>
    <w:rsid w:val="4E541901"/>
    <w:rsid w:val="4E7A1425"/>
    <w:rsid w:val="4E7B18B2"/>
    <w:rsid w:val="4E7B669D"/>
    <w:rsid w:val="4E8648A2"/>
    <w:rsid w:val="4E8805E2"/>
    <w:rsid w:val="4E8B4122"/>
    <w:rsid w:val="4E8C0FD5"/>
    <w:rsid w:val="4E9E42D3"/>
    <w:rsid w:val="4EAB24D7"/>
    <w:rsid w:val="4EAE11A8"/>
    <w:rsid w:val="4EB44C13"/>
    <w:rsid w:val="4EBB5ABE"/>
    <w:rsid w:val="4EBC6108"/>
    <w:rsid w:val="4EBF7A92"/>
    <w:rsid w:val="4EC2420D"/>
    <w:rsid w:val="4ECF7FDC"/>
    <w:rsid w:val="4ED0337F"/>
    <w:rsid w:val="4ED056BA"/>
    <w:rsid w:val="4ED103BA"/>
    <w:rsid w:val="4ED22487"/>
    <w:rsid w:val="4ED637EC"/>
    <w:rsid w:val="4ED80FD0"/>
    <w:rsid w:val="4EDE06E9"/>
    <w:rsid w:val="4EEB5D5A"/>
    <w:rsid w:val="4F011AB4"/>
    <w:rsid w:val="4F0E4D3C"/>
    <w:rsid w:val="4F1224DA"/>
    <w:rsid w:val="4F144E07"/>
    <w:rsid w:val="4F2D14E0"/>
    <w:rsid w:val="4F421637"/>
    <w:rsid w:val="4F4375D4"/>
    <w:rsid w:val="4F4E516B"/>
    <w:rsid w:val="4F4F6558"/>
    <w:rsid w:val="4F5035B5"/>
    <w:rsid w:val="4F525795"/>
    <w:rsid w:val="4F60392B"/>
    <w:rsid w:val="4F767E69"/>
    <w:rsid w:val="4F8751A4"/>
    <w:rsid w:val="4F8D18A5"/>
    <w:rsid w:val="4F9146CB"/>
    <w:rsid w:val="4F93218E"/>
    <w:rsid w:val="4F947F5F"/>
    <w:rsid w:val="4FAD1945"/>
    <w:rsid w:val="4FBB76B3"/>
    <w:rsid w:val="4FBD04F9"/>
    <w:rsid w:val="4FBF7DB6"/>
    <w:rsid w:val="4FC8589B"/>
    <w:rsid w:val="4FD1196E"/>
    <w:rsid w:val="4FF65CAD"/>
    <w:rsid w:val="4FFB2428"/>
    <w:rsid w:val="4FFB6F1B"/>
    <w:rsid w:val="50006507"/>
    <w:rsid w:val="501C3A50"/>
    <w:rsid w:val="501D48BD"/>
    <w:rsid w:val="501F5F82"/>
    <w:rsid w:val="502B7C5D"/>
    <w:rsid w:val="502C6BFE"/>
    <w:rsid w:val="50301863"/>
    <w:rsid w:val="503453CA"/>
    <w:rsid w:val="504113CA"/>
    <w:rsid w:val="5048033C"/>
    <w:rsid w:val="5049019A"/>
    <w:rsid w:val="504B4B89"/>
    <w:rsid w:val="504D1837"/>
    <w:rsid w:val="505B65CF"/>
    <w:rsid w:val="505D1D51"/>
    <w:rsid w:val="505D5B49"/>
    <w:rsid w:val="505E18F4"/>
    <w:rsid w:val="50604B8A"/>
    <w:rsid w:val="50696658"/>
    <w:rsid w:val="50761462"/>
    <w:rsid w:val="507F634E"/>
    <w:rsid w:val="50903BFC"/>
    <w:rsid w:val="5091119D"/>
    <w:rsid w:val="50923C93"/>
    <w:rsid w:val="509739B3"/>
    <w:rsid w:val="509A1DE5"/>
    <w:rsid w:val="50A70297"/>
    <w:rsid w:val="50B34E57"/>
    <w:rsid w:val="50B741D4"/>
    <w:rsid w:val="50BB2C80"/>
    <w:rsid w:val="50BD7865"/>
    <w:rsid w:val="50BE3510"/>
    <w:rsid w:val="50BE5F2B"/>
    <w:rsid w:val="50C8374E"/>
    <w:rsid w:val="50CD180F"/>
    <w:rsid w:val="50CE616C"/>
    <w:rsid w:val="50D350CA"/>
    <w:rsid w:val="50E35899"/>
    <w:rsid w:val="51013EC6"/>
    <w:rsid w:val="51015529"/>
    <w:rsid w:val="5104185A"/>
    <w:rsid w:val="51066188"/>
    <w:rsid w:val="5107343D"/>
    <w:rsid w:val="51142518"/>
    <w:rsid w:val="51275108"/>
    <w:rsid w:val="512F2EA1"/>
    <w:rsid w:val="51320E03"/>
    <w:rsid w:val="51416800"/>
    <w:rsid w:val="51627754"/>
    <w:rsid w:val="5165503A"/>
    <w:rsid w:val="517D233F"/>
    <w:rsid w:val="51AE367F"/>
    <w:rsid w:val="51AE7906"/>
    <w:rsid w:val="51B43DD3"/>
    <w:rsid w:val="51B5159F"/>
    <w:rsid w:val="51CC3594"/>
    <w:rsid w:val="51D242ED"/>
    <w:rsid w:val="51E622CF"/>
    <w:rsid w:val="51E90475"/>
    <w:rsid w:val="51EE2EEE"/>
    <w:rsid w:val="51F1085E"/>
    <w:rsid w:val="51F720CE"/>
    <w:rsid w:val="520E1247"/>
    <w:rsid w:val="522D60CC"/>
    <w:rsid w:val="522F0757"/>
    <w:rsid w:val="52372EB9"/>
    <w:rsid w:val="52511CED"/>
    <w:rsid w:val="5254133A"/>
    <w:rsid w:val="52571C07"/>
    <w:rsid w:val="525830F6"/>
    <w:rsid w:val="52624096"/>
    <w:rsid w:val="52656099"/>
    <w:rsid w:val="52843C13"/>
    <w:rsid w:val="528503F7"/>
    <w:rsid w:val="528564ED"/>
    <w:rsid w:val="528D0D84"/>
    <w:rsid w:val="529B6CC3"/>
    <w:rsid w:val="529D3365"/>
    <w:rsid w:val="52AC282C"/>
    <w:rsid w:val="52B8207F"/>
    <w:rsid w:val="52BF53B3"/>
    <w:rsid w:val="52D60F11"/>
    <w:rsid w:val="52D6686F"/>
    <w:rsid w:val="52D95130"/>
    <w:rsid w:val="52DC6519"/>
    <w:rsid w:val="52E011BF"/>
    <w:rsid w:val="52E65D03"/>
    <w:rsid w:val="52E6736E"/>
    <w:rsid w:val="52F70701"/>
    <w:rsid w:val="52FD3798"/>
    <w:rsid w:val="53016777"/>
    <w:rsid w:val="53036157"/>
    <w:rsid w:val="5306071E"/>
    <w:rsid w:val="530A03E2"/>
    <w:rsid w:val="530E7207"/>
    <w:rsid w:val="530F2799"/>
    <w:rsid w:val="531D2949"/>
    <w:rsid w:val="5329480D"/>
    <w:rsid w:val="532C0C91"/>
    <w:rsid w:val="532E363D"/>
    <w:rsid w:val="533656B4"/>
    <w:rsid w:val="533A72D2"/>
    <w:rsid w:val="53466802"/>
    <w:rsid w:val="5349641E"/>
    <w:rsid w:val="53503DCB"/>
    <w:rsid w:val="53514987"/>
    <w:rsid w:val="5357664F"/>
    <w:rsid w:val="535C68D2"/>
    <w:rsid w:val="536222D6"/>
    <w:rsid w:val="5367371E"/>
    <w:rsid w:val="53673897"/>
    <w:rsid w:val="536C0B22"/>
    <w:rsid w:val="53700295"/>
    <w:rsid w:val="537A61D0"/>
    <w:rsid w:val="538B63E5"/>
    <w:rsid w:val="53992E62"/>
    <w:rsid w:val="539C215C"/>
    <w:rsid w:val="539C471F"/>
    <w:rsid w:val="53A22979"/>
    <w:rsid w:val="53A23BA8"/>
    <w:rsid w:val="53A45124"/>
    <w:rsid w:val="53A45569"/>
    <w:rsid w:val="53AE0C49"/>
    <w:rsid w:val="53B375E7"/>
    <w:rsid w:val="53B77D76"/>
    <w:rsid w:val="53BB1760"/>
    <w:rsid w:val="53C115A8"/>
    <w:rsid w:val="53D75F10"/>
    <w:rsid w:val="53DB0FFF"/>
    <w:rsid w:val="53EE5E3B"/>
    <w:rsid w:val="53F114BC"/>
    <w:rsid w:val="54005176"/>
    <w:rsid w:val="5407493E"/>
    <w:rsid w:val="5409172A"/>
    <w:rsid w:val="540E3CFF"/>
    <w:rsid w:val="5410566F"/>
    <w:rsid w:val="54174C88"/>
    <w:rsid w:val="54221E45"/>
    <w:rsid w:val="542738DF"/>
    <w:rsid w:val="542B5A0C"/>
    <w:rsid w:val="543377D2"/>
    <w:rsid w:val="54360F93"/>
    <w:rsid w:val="544A7F72"/>
    <w:rsid w:val="5455288E"/>
    <w:rsid w:val="546623DE"/>
    <w:rsid w:val="546B69B4"/>
    <w:rsid w:val="546C6865"/>
    <w:rsid w:val="546E6CB3"/>
    <w:rsid w:val="547E43C3"/>
    <w:rsid w:val="548A534D"/>
    <w:rsid w:val="548C570A"/>
    <w:rsid w:val="54915F89"/>
    <w:rsid w:val="54A14E4E"/>
    <w:rsid w:val="54A51ED9"/>
    <w:rsid w:val="54B54A7D"/>
    <w:rsid w:val="54B81250"/>
    <w:rsid w:val="54BF7B93"/>
    <w:rsid w:val="54D623A9"/>
    <w:rsid w:val="54DA1BC4"/>
    <w:rsid w:val="54DB5060"/>
    <w:rsid w:val="54E654F8"/>
    <w:rsid w:val="54EB1D94"/>
    <w:rsid w:val="54EE00E6"/>
    <w:rsid w:val="54F92900"/>
    <w:rsid w:val="54FD6C97"/>
    <w:rsid w:val="550148E2"/>
    <w:rsid w:val="55067147"/>
    <w:rsid w:val="55150E33"/>
    <w:rsid w:val="55240AA4"/>
    <w:rsid w:val="552D4396"/>
    <w:rsid w:val="552E543D"/>
    <w:rsid w:val="553637B1"/>
    <w:rsid w:val="55367126"/>
    <w:rsid w:val="554B32C0"/>
    <w:rsid w:val="556271C8"/>
    <w:rsid w:val="55722C00"/>
    <w:rsid w:val="557272CD"/>
    <w:rsid w:val="557D26D2"/>
    <w:rsid w:val="557F3544"/>
    <w:rsid w:val="559668DC"/>
    <w:rsid w:val="559E1872"/>
    <w:rsid w:val="55A34E45"/>
    <w:rsid w:val="55A450D5"/>
    <w:rsid w:val="55B04C33"/>
    <w:rsid w:val="55B96D93"/>
    <w:rsid w:val="55B9733C"/>
    <w:rsid w:val="55C72EFE"/>
    <w:rsid w:val="55CA3C3D"/>
    <w:rsid w:val="55CF3ED3"/>
    <w:rsid w:val="55D43743"/>
    <w:rsid w:val="55DE780B"/>
    <w:rsid w:val="55E01540"/>
    <w:rsid w:val="55F26E27"/>
    <w:rsid w:val="55F77421"/>
    <w:rsid w:val="55FC196F"/>
    <w:rsid w:val="56006BCE"/>
    <w:rsid w:val="560141A7"/>
    <w:rsid w:val="560658C1"/>
    <w:rsid w:val="5607607C"/>
    <w:rsid w:val="561511E6"/>
    <w:rsid w:val="561F7A33"/>
    <w:rsid w:val="56227BD2"/>
    <w:rsid w:val="56396761"/>
    <w:rsid w:val="563D31D5"/>
    <w:rsid w:val="564330AA"/>
    <w:rsid w:val="56450F0C"/>
    <w:rsid w:val="564702DA"/>
    <w:rsid w:val="564A0B13"/>
    <w:rsid w:val="564A1E5C"/>
    <w:rsid w:val="564B7A86"/>
    <w:rsid w:val="56625BDE"/>
    <w:rsid w:val="56680714"/>
    <w:rsid w:val="56775F32"/>
    <w:rsid w:val="567E1876"/>
    <w:rsid w:val="56884B58"/>
    <w:rsid w:val="568C3ED9"/>
    <w:rsid w:val="568D317D"/>
    <w:rsid w:val="56A06A3C"/>
    <w:rsid w:val="56A2311B"/>
    <w:rsid w:val="56A23B26"/>
    <w:rsid w:val="56B05C13"/>
    <w:rsid w:val="56B70564"/>
    <w:rsid w:val="56B812EC"/>
    <w:rsid w:val="56B9541F"/>
    <w:rsid w:val="56BD2106"/>
    <w:rsid w:val="56CB4933"/>
    <w:rsid w:val="56CE1310"/>
    <w:rsid w:val="56F21F9C"/>
    <w:rsid w:val="57085F46"/>
    <w:rsid w:val="571125EA"/>
    <w:rsid w:val="573249A3"/>
    <w:rsid w:val="573645D7"/>
    <w:rsid w:val="574144B0"/>
    <w:rsid w:val="575A66F6"/>
    <w:rsid w:val="575B3DBF"/>
    <w:rsid w:val="57661B56"/>
    <w:rsid w:val="576D5940"/>
    <w:rsid w:val="57785731"/>
    <w:rsid w:val="577B2EC1"/>
    <w:rsid w:val="57813D40"/>
    <w:rsid w:val="57842620"/>
    <w:rsid w:val="578C014D"/>
    <w:rsid w:val="578E4FB0"/>
    <w:rsid w:val="579A4622"/>
    <w:rsid w:val="57A25481"/>
    <w:rsid w:val="57A52307"/>
    <w:rsid w:val="57AE09D9"/>
    <w:rsid w:val="57B8549E"/>
    <w:rsid w:val="57BE26AF"/>
    <w:rsid w:val="57C21512"/>
    <w:rsid w:val="57C2629A"/>
    <w:rsid w:val="57D15132"/>
    <w:rsid w:val="57DD7A3B"/>
    <w:rsid w:val="57DF49A2"/>
    <w:rsid w:val="57DF51C1"/>
    <w:rsid w:val="57E07C1C"/>
    <w:rsid w:val="57ED47FC"/>
    <w:rsid w:val="57F9485D"/>
    <w:rsid w:val="57FFAF45"/>
    <w:rsid w:val="58093716"/>
    <w:rsid w:val="580D07C4"/>
    <w:rsid w:val="580F0354"/>
    <w:rsid w:val="58183B22"/>
    <w:rsid w:val="58186978"/>
    <w:rsid w:val="5827508C"/>
    <w:rsid w:val="582B09F6"/>
    <w:rsid w:val="58343124"/>
    <w:rsid w:val="5843450F"/>
    <w:rsid w:val="584564F3"/>
    <w:rsid w:val="58496566"/>
    <w:rsid w:val="586C63B4"/>
    <w:rsid w:val="586D0008"/>
    <w:rsid w:val="586E01B4"/>
    <w:rsid w:val="587344D1"/>
    <w:rsid w:val="5882421A"/>
    <w:rsid w:val="589A1E5A"/>
    <w:rsid w:val="58A8167C"/>
    <w:rsid w:val="58C17C01"/>
    <w:rsid w:val="58C868A8"/>
    <w:rsid w:val="58CE6B9A"/>
    <w:rsid w:val="58D263BA"/>
    <w:rsid w:val="58D630FB"/>
    <w:rsid w:val="58E5214E"/>
    <w:rsid w:val="58E5795A"/>
    <w:rsid w:val="58E7573F"/>
    <w:rsid w:val="58E765BC"/>
    <w:rsid w:val="58ED269C"/>
    <w:rsid w:val="58F26940"/>
    <w:rsid w:val="58FD5582"/>
    <w:rsid w:val="590708AE"/>
    <w:rsid w:val="590A31E0"/>
    <w:rsid w:val="590F08DD"/>
    <w:rsid w:val="591A363F"/>
    <w:rsid w:val="592B5E9A"/>
    <w:rsid w:val="592E2741"/>
    <w:rsid w:val="5931524E"/>
    <w:rsid w:val="5934257F"/>
    <w:rsid w:val="59677F2E"/>
    <w:rsid w:val="597B7831"/>
    <w:rsid w:val="59992F77"/>
    <w:rsid w:val="599A7B0A"/>
    <w:rsid w:val="599B15E8"/>
    <w:rsid w:val="599E42F5"/>
    <w:rsid w:val="59A51704"/>
    <w:rsid w:val="59A85A7E"/>
    <w:rsid w:val="59AA3BD4"/>
    <w:rsid w:val="59B755D4"/>
    <w:rsid w:val="59E56F1B"/>
    <w:rsid w:val="59E86909"/>
    <w:rsid w:val="59EB5ADD"/>
    <w:rsid w:val="59F075E5"/>
    <w:rsid w:val="59F77F45"/>
    <w:rsid w:val="5A045F5C"/>
    <w:rsid w:val="5A1328D5"/>
    <w:rsid w:val="5A141E5B"/>
    <w:rsid w:val="5A143A7C"/>
    <w:rsid w:val="5A217199"/>
    <w:rsid w:val="5A3C1840"/>
    <w:rsid w:val="5A3E6B03"/>
    <w:rsid w:val="5A414940"/>
    <w:rsid w:val="5A455750"/>
    <w:rsid w:val="5A5E4E13"/>
    <w:rsid w:val="5A6F2167"/>
    <w:rsid w:val="5A6F533B"/>
    <w:rsid w:val="5A7B0D86"/>
    <w:rsid w:val="5A924E58"/>
    <w:rsid w:val="5A933601"/>
    <w:rsid w:val="5AA56E92"/>
    <w:rsid w:val="5AAF0A61"/>
    <w:rsid w:val="5AB25500"/>
    <w:rsid w:val="5ABE2A66"/>
    <w:rsid w:val="5AC17F98"/>
    <w:rsid w:val="5AC527DB"/>
    <w:rsid w:val="5ACF6253"/>
    <w:rsid w:val="5ADA013B"/>
    <w:rsid w:val="5AE57388"/>
    <w:rsid w:val="5AE67CD7"/>
    <w:rsid w:val="5AF13958"/>
    <w:rsid w:val="5B0071ED"/>
    <w:rsid w:val="5B045963"/>
    <w:rsid w:val="5B0A7340"/>
    <w:rsid w:val="5B0D3010"/>
    <w:rsid w:val="5B0E7C44"/>
    <w:rsid w:val="5B107D18"/>
    <w:rsid w:val="5B140AA6"/>
    <w:rsid w:val="5B225E1B"/>
    <w:rsid w:val="5B353E2A"/>
    <w:rsid w:val="5B4461A5"/>
    <w:rsid w:val="5B471DC9"/>
    <w:rsid w:val="5B4A6794"/>
    <w:rsid w:val="5B54213B"/>
    <w:rsid w:val="5B5F74CC"/>
    <w:rsid w:val="5B6834E5"/>
    <w:rsid w:val="5B6A5B29"/>
    <w:rsid w:val="5B7414DA"/>
    <w:rsid w:val="5B7454F8"/>
    <w:rsid w:val="5B745A96"/>
    <w:rsid w:val="5B784A97"/>
    <w:rsid w:val="5B7A1341"/>
    <w:rsid w:val="5B7A2602"/>
    <w:rsid w:val="5B817C7A"/>
    <w:rsid w:val="5B8329A1"/>
    <w:rsid w:val="5B862BDF"/>
    <w:rsid w:val="5B8D23C3"/>
    <w:rsid w:val="5B8F3986"/>
    <w:rsid w:val="5BA07A57"/>
    <w:rsid w:val="5BAD6018"/>
    <w:rsid w:val="5BC1786D"/>
    <w:rsid w:val="5BC35070"/>
    <w:rsid w:val="5BCF795B"/>
    <w:rsid w:val="5BD33963"/>
    <w:rsid w:val="5BFD2CA4"/>
    <w:rsid w:val="5C152611"/>
    <w:rsid w:val="5C1C135F"/>
    <w:rsid w:val="5C3347AD"/>
    <w:rsid w:val="5C374C80"/>
    <w:rsid w:val="5C4825C3"/>
    <w:rsid w:val="5C490041"/>
    <w:rsid w:val="5C49053E"/>
    <w:rsid w:val="5C492DDE"/>
    <w:rsid w:val="5C4947E8"/>
    <w:rsid w:val="5C4D7EF3"/>
    <w:rsid w:val="5C5177A8"/>
    <w:rsid w:val="5C5960FA"/>
    <w:rsid w:val="5C717E14"/>
    <w:rsid w:val="5C725E3D"/>
    <w:rsid w:val="5C7976E7"/>
    <w:rsid w:val="5C811D0C"/>
    <w:rsid w:val="5C88301E"/>
    <w:rsid w:val="5C8D55C8"/>
    <w:rsid w:val="5C8E613B"/>
    <w:rsid w:val="5CAC1794"/>
    <w:rsid w:val="5CC22FA1"/>
    <w:rsid w:val="5CD55AB1"/>
    <w:rsid w:val="5CDF4ED0"/>
    <w:rsid w:val="5CDF7085"/>
    <w:rsid w:val="5CEB314D"/>
    <w:rsid w:val="5CEB7FBD"/>
    <w:rsid w:val="5CF50E41"/>
    <w:rsid w:val="5CF63C48"/>
    <w:rsid w:val="5D067A05"/>
    <w:rsid w:val="5D1253A4"/>
    <w:rsid w:val="5D142798"/>
    <w:rsid w:val="5D231CF9"/>
    <w:rsid w:val="5D244A02"/>
    <w:rsid w:val="5D275CC8"/>
    <w:rsid w:val="5D2A668E"/>
    <w:rsid w:val="5D2E0784"/>
    <w:rsid w:val="5D3123E3"/>
    <w:rsid w:val="5D421DC8"/>
    <w:rsid w:val="5D464AF1"/>
    <w:rsid w:val="5D5F485C"/>
    <w:rsid w:val="5D67123A"/>
    <w:rsid w:val="5D6D3706"/>
    <w:rsid w:val="5D7415AC"/>
    <w:rsid w:val="5D742240"/>
    <w:rsid w:val="5D74602B"/>
    <w:rsid w:val="5D7A773F"/>
    <w:rsid w:val="5D7D6D2A"/>
    <w:rsid w:val="5D875E43"/>
    <w:rsid w:val="5D883266"/>
    <w:rsid w:val="5D8B5929"/>
    <w:rsid w:val="5D992846"/>
    <w:rsid w:val="5DB23F05"/>
    <w:rsid w:val="5DBE7145"/>
    <w:rsid w:val="5DC03C97"/>
    <w:rsid w:val="5DD7525E"/>
    <w:rsid w:val="5DDB7640"/>
    <w:rsid w:val="5DDC5ECC"/>
    <w:rsid w:val="5DE114C8"/>
    <w:rsid w:val="5DEB3856"/>
    <w:rsid w:val="5DF31EA9"/>
    <w:rsid w:val="5DFD6BB3"/>
    <w:rsid w:val="5E030E1C"/>
    <w:rsid w:val="5E051A40"/>
    <w:rsid w:val="5E0E0783"/>
    <w:rsid w:val="5E0F6CCA"/>
    <w:rsid w:val="5E2804CC"/>
    <w:rsid w:val="5E3848D8"/>
    <w:rsid w:val="5E3B0769"/>
    <w:rsid w:val="5E3F2CE9"/>
    <w:rsid w:val="5E4C67BC"/>
    <w:rsid w:val="5E582B20"/>
    <w:rsid w:val="5E5F0582"/>
    <w:rsid w:val="5E6B178A"/>
    <w:rsid w:val="5E761CD9"/>
    <w:rsid w:val="5E766AAF"/>
    <w:rsid w:val="5E7722A1"/>
    <w:rsid w:val="5E8773BD"/>
    <w:rsid w:val="5E944FA5"/>
    <w:rsid w:val="5EA10BA2"/>
    <w:rsid w:val="5EA379F6"/>
    <w:rsid w:val="5EA57611"/>
    <w:rsid w:val="5EAC7C8E"/>
    <w:rsid w:val="5EBB6FD1"/>
    <w:rsid w:val="5EBD226B"/>
    <w:rsid w:val="5EC327AB"/>
    <w:rsid w:val="5ECA1782"/>
    <w:rsid w:val="5ED029E1"/>
    <w:rsid w:val="5EDFA36D"/>
    <w:rsid w:val="5EEF7327"/>
    <w:rsid w:val="5F095E88"/>
    <w:rsid w:val="5F143439"/>
    <w:rsid w:val="5F1752DE"/>
    <w:rsid w:val="5F1E3C86"/>
    <w:rsid w:val="5F217812"/>
    <w:rsid w:val="5F37767B"/>
    <w:rsid w:val="5F536842"/>
    <w:rsid w:val="5F5932DA"/>
    <w:rsid w:val="5F8065F5"/>
    <w:rsid w:val="5F89637E"/>
    <w:rsid w:val="5F8D788E"/>
    <w:rsid w:val="5F8E212B"/>
    <w:rsid w:val="5F9F438F"/>
    <w:rsid w:val="5FA10660"/>
    <w:rsid w:val="5FA136CD"/>
    <w:rsid w:val="5FBA49D4"/>
    <w:rsid w:val="5FC16BAF"/>
    <w:rsid w:val="5FC16C8E"/>
    <w:rsid w:val="5FC26B0B"/>
    <w:rsid w:val="5FC35A8A"/>
    <w:rsid w:val="5FD87FDD"/>
    <w:rsid w:val="5FDC529C"/>
    <w:rsid w:val="5FEB4BEF"/>
    <w:rsid w:val="5FF85594"/>
    <w:rsid w:val="5FFF26BD"/>
    <w:rsid w:val="600F0DB4"/>
    <w:rsid w:val="601D1F8F"/>
    <w:rsid w:val="60247576"/>
    <w:rsid w:val="60287AF6"/>
    <w:rsid w:val="602E7E5B"/>
    <w:rsid w:val="602F3EBF"/>
    <w:rsid w:val="60315495"/>
    <w:rsid w:val="6031791B"/>
    <w:rsid w:val="603C65E7"/>
    <w:rsid w:val="60446FFD"/>
    <w:rsid w:val="604D6363"/>
    <w:rsid w:val="60514B03"/>
    <w:rsid w:val="6052264C"/>
    <w:rsid w:val="60565C4E"/>
    <w:rsid w:val="606E5EE1"/>
    <w:rsid w:val="60712317"/>
    <w:rsid w:val="607D435A"/>
    <w:rsid w:val="60823191"/>
    <w:rsid w:val="60872731"/>
    <w:rsid w:val="608C3E61"/>
    <w:rsid w:val="608C57FE"/>
    <w:rsid w:val="60933164"/>
    <w:rsid w:val="609B398F"/>
    <w:rsid w:val="609D6E7B"/>
    <w:rsid w:val="609D760A"/>
    <w:rsid w:val="60A26049"/>
    <w:rsid w:val="60BF7824"/>
    <w:rsid w:val="60D15321"/>
    <w:rsid w:val="60D42F2C"/>
    <w:rsid w:val="60DE5826"/>
    <w:rsid w:val="60E604E6"/>
    <w:rsid w:val="60E82CFB"/>
    <w:rsid w:val="61011BB2"/>
    <w:rsid w:val="61112665"/>
    <w:rsid w:val="61185F7D"/>
    <w:rsid w:val="611B3699"/>
    <w:rsid w:val="6120053B"/>
    <w:rsid w:val="61246385"/>
    <w:rsid w:val="612717B4"/>
    <w:rsid w:val="612C45CE"/>
    <w:rsid w:val="612F3FC4"/>
    <w:rsid w:val="61367A4A"/>
    <w:rsid w:val="613E0B87"/>
    <w:rsid w:val="613E66D3"/>
    <w:rsid w:val="6152575A"/>
    <w:rsid w:val="615C781B"/>
    <w:rsid w:val="617343FF"/>
    <w:rsid w:val="617A0A66"/>
    <w:rsid w:val="617F623A"/>
    <w:rsid w:val="618101E3"/>
    <w:rsid w:val="618D15A2"/>
    <w:rsid w:val="61B81B60"/>
    <w:rsid w:val="61BA213D"/>
    <w:rsid w:val="61BA5C99"/>
    <w:rsid w:val="61CF3A6C"/>
    <w:rsid w:val="61D1238C"/>
    <w:rsid w:val="61D4386D"/>
    <w:rsid w:val="61F40326"/>
    <w:rsid w:val="620F7CB9"/>
    <w:rsid w:val="62114C1D"/>
    <w:rsid w:val="621D3A47"/>
    <w:rsid w:val="6223625E"/>
    <w:rsid w:val="623A4EAC"/>
    <w:rsid w:val="62525376"/>
    <w:rsid w:val="625546A1"/>
    <w:rsid w:val="625A7D1F"/>
    <w:rsid w:val="625B1A08"/>
    <w:rsid w:val="62611DB2"/>
    <w:rsid w:val="626242AF"/>
    <w:rsid w:val="627073DF"/>
    <w:rsid w:val="62726CDA"/>
    <w:rsid w:val="6286232A"/>
    <w:rsid w:val="62901E79"/>
    <w:rsid w:val="62966D59"/>
    <w:rsid w:val="629926FB"/>
    <w:rsid w:val="629F3021"/>
    <w:rsid w:val="62AA7397"/>
    <w:rsid w:val="62AC3F49"/>
    <w:rsid w:val="62B962CE"/>
    <w:rsid w:val="62BE0C35"/>
    <w:rsid w:val="62D83687"/>
    <w:rsid w:val="62DF400D"/>
    <w:rsid w:val="62EA38CD"/>
    <w:rsid w:val="62FC0AED"/>
    <w:rsid w:val="62FF058C"/>
    <w:rsid w:val="63063093"/>
    <w:rsid w:val="630E71E5"/>
    <w:rsid w:val="632A1084"/>
    <w:rsid w:val="632F0271"/>
    <w:rsid w:val="633046DB"/>
    <w:rsid w:val="634458A7"/>
    <w:rsid w:val="635E63B1"/>
    <w:rsid w:val="636258C7"/>
    <w:rsid w:val="63792CE7"/>
    <w:rsid w:val="637F121C"/>
    <w:rsid w:val="63865033"/>
    <w:rsid w:val="63916850"/>
    <w:rsid w:val="63932A3C"/>
    <w:rsid w:val="63936F70"/>
    <w:rsid w:val="639A4E48"/>
    <w:rsid w:val="639E65CD"/>
    <w:rsid w:val="63AA6AED"/>
    <w:rsid w:val="63AB111F"/>
    <w:rsid w:val="63AE20DF"/>
    <w:rsid w:val="63B40033"/>
    <w:rsid w:val="63BA236A"/>
    <w:rsid w:val="63C9637F"/>
    <w:rsid w:val="63D42399"/>
    <w:rsid w:val="63D75CF3"/>
    <w:rsid w:val="63E006CD"/>
    <w:rsid w:val="63EB40F2"/>
    <w:rsid w:val="63EC25C0"/>
    <w:rsid w:val="63F05C53"/>
    <w:rsid w:val="63F07A5F"/>
    <w:rsid w:val="640319AA"/>
    <w:rsid w:val="64033A07"/>
    <w:rsid w:val="64114211"/>
    <w:rsid w:val="642330DF"/>
    <w:rsid w:val="643772C8"/>
    <w:rsid w:val="64452F25"/>
    <w:rsid w:val="64453A03"/>
    <w:rsid w:val="644E3BF2"/>
    <w:rsid w:val="64565585"/>
    <w:rsid w:val="645A2DCE"/>
    <w:rsid w:val="645F1C23"/>
    <w:rsid w:val="646B2DA9"/>
    <w:rsid w:val="646C2D1A"/>
    <w:rsid w:val="64816B7C"/>
    <w:rsid w:val="64842140"/>
    <w:rsid w:val="64897FC5"/>
    <w:rsid w:val="64961AF1"/>
    <w:rsid w:val="649E593B"/>
    <w:rsid w:val="64A86891"/>
    <w:rsid w:val="64AB20F7"/>
    <w:rsid w:val="64D82C05"/>
    <w:rsid w:val="64E71214"/>
    <w:rsid w:val="64F774CD"/>
    <w:rsid w:val="64F82E2F"/>
    <w:rsid w:val="64F84B5B"/>
    <w:rsid w:val="65007440"/>
    <w:rsid w:val="65066D42"/>
    <w:rsid w:val="65166B1B"/>
    <w:rsid w:val="651E1475"/>
    <w:rsid w:val="65261342"/>
    <w:rsid w:val="65266111"/>
    <w:rsid w:val="652B0C59"/>
    <w:rsid w:val="65362487"/>
    <w:rsid w:val="653B64B9"/>
    <w:rsid w:val="6543510B"/>
    <w:rsid w:val="65470D69"/>
    <w:rsid w:val="655712DF"/>
    <w:rsid w:val="655A1669"/>
    <w:rsid w:val="6560136A"/>
    <w:rsid w:val="65663400"/>
    <w:rsid w:val="65664C5A"/>
    <w:rsid w:val="65705D89"/>
    <w:rsid w:val="657232B5"/>
    <w:rsid w:val="657E47D8"/>
    <w:rsid w:val="65923054"/>
    <w:rsid w:val="659A1C23"/>
    <w:rsid w:val="659D2C4A"/>
    <w:rsid w:val="65A717A3"/>
    <w:rsid w:val="65A851DB"/>
    <w:rsid w:val="65AA73CE"/>
    <w:rsid w:val="65AB173D"/>
    <w:rsid w:val="65BC471E"/>
    <w:rsid w:val="65C569A4"/>
    <w:rsid w:val="65DB0F20"/>
    <w:rsid w:val="65E65479"/>
    <w:rsid w:val="65E67B9A"/>
    <w:rsid w:val="65FE68FC"/>
    <w:rsid w:val="65FF2DAC"/>
    <w:rsid w:val="660420CA"/>
    <w:rsid w:val="66044546"/>
    <w:rsid w:val="66094A15"/>
    <w:rsid w:val="66303092"/>
    <w:rsid w:val="66355A97"/>
    <w:rsid w:val="6648413E"/>
    <w:rsid w:val="664A6AEF"/>
    <w:rsid w:val="66590D2D"/>
    <w:rsid w:val="66593B9A"/>
    <w:rsid w:val="665C49A9"/>
    <w:rsid w:val="665E5500"/>
    <w:rsid w:val="666D0CE1"/>
    <w:rsid w:val="66892B03"/>
    <w:rsid w:val="66893103"/>
    <w:rsid w:val="668F4E6F"/>
    <w:rsid w:val="6692670E"/>
    <w:rsid w:val="669C2EA8"/>
    <w:rsid w:val="669E0CEE"/>
    <w:rsid w:val="66A15A9D"/>
    <w:rsid w:val="66B34051"/>
    <w:rsid w:val="66B671B5"/>
    <w:rsid w:val="66CF5A16"/>
    <w:rsid w:val="66D11B38"/>
    <w:rsid w:val="66DF22CC"/>
    <w:rsid w:val="66F43D4A"/>
    <w:rsid w:val="67107DD7"/>
    <w:rsid w:val="67173803"/>
    <w:rsid w:val="67251A26"/>
    <w:rsid w:val="67295CD8"/>
    <w:rsid w:val="67304008"/>
    <w:rsid w:val="673B5505"/>
    <w:rsid w:val="673C3910"/>
    <w:rsid w:val="673E4893"/>
    <w:rsid w:val="67433F94"/>
    <w:rsid w:val="67616FAD"/>
    <w:rsid w:val="676C4FC5"/>
    <w:rsid w:val="677A19D6"/>
    <w:rsid w:val="677E2E13"/>
    <w:rsid w:val="67986EDD"/>
    <w:rsid w:val="67987E28"/>
    <w:rsid w:val="679B75D8"/>
    <w:rsid w:val="67AE1909"/>
    <w:rsid w:val="67B50A2C"/>
    <w:rsid w:val="67BC535F"/>
    <w:rsid w:val="67C01E36"/>
    <w:rsid w:val="67C1261F"/>
    <w:rsid w:val="67C161A0"/>
    <w:rsid w:val="67C803A8"/>
    <w:rsid w:val="67DE04F8"/>
    <w:rsid w:val="67E02509"/>
    <w:rsid w:val="67E64DA8"/>
    <w:rsid w:val="67F22368"/>
    <w:rsid w:val="67F4640E"/>
    <w:rsid w:val="67F46E9F"/>
    <w:rsid w:val="680B3254"/>
    <w:rsid w:val="680D3DA6"/>
    <w:rsid w:val="681D631E"/>
    <w:rsid w:val="681E2A29"/>
    <w:rsid w:val="6824547D"/>
    <w:rsid w:val="68292578"/>
    <w:rsid w:val="682D270A"/>
    <w:rsid w:val="68313763"/>
    <w:rsid w:val="684319FE"/>
    <w:rsid w:val="6845243A"/>
    <w:rsid w:val="68511E42"/>
    <w:rsid w:val="6859670E"/>
    <w:rsid w:val="686C5A72"/>
    <w:rsid w:val="68771495"/>
    <w:rsid w:val="687D7423"/>
    <w:rsid w:val="688A278D"/>
    <w:rsid w:val="689212FE"/>
    <w:rsid w:val="68927A66"/>
    <w:rsid w:val="689C25FF"/>
    <w:rsid w:val="68A57C57"/>
    <w:rsid w:val="68AC7696"/>
    <w:rsid w:val="68C0064C"/>
    <w:rsid w:val="68C4280B"/>
    <w:rsid w:val="68CC3D9E"/>
    <w:rsid w:val="68D344D9"/>
    <w:rsid w:val="68DB39D9"/>
    <w:rsid w:val="68DC42F1"/>
    <w:rsid w:val="68DD7D50"/>
    <w:rsid w:val="68E6434B"/>
    <w:rsid w:val="68EC75B5"/>
    <w:rsid w:val="68F2196E"/>
    <w:rsid w:val="68F95385"/>
    <w:rsid w:val="68FF32F2"/>
    <w:rsid w:val="69092152"/>
    <w:rsid w:val="690F2792"/>
    <w:rsid w:val="69112F5E"/>
    <w:rsid w:val="69120C4E"/>
    <w:rsid w:val="69156EB1"/>
    <w:rsid w:val="691C17CD"/>
    <w:rsid w:val="691C4585"/>
    <w:rsid w:val="692122FA"/>
    <w:rsid w:val="69231B0C"/>
    <w:rsid w:val="69371D49"/>
    <w:rsid w:val="69422EE0"/>
    <w:rsid w:val="69434B73"/>
    <w:rsid w:val="69474952"/>
    <w:rsid w:val="694C596E"/>
    <w:rsid w:val="6950151D"/>
    <w:rsid w:val="695B0859"/>
    <w:rsid w:val="69624302"/>
    <w:rsid w:val="69634E03"/>
    <w:rsid w:val="69757DA2"/>
    <w:rsid w:val="69797C2C"/>
    <w:rsid w:val="697A4E6A"/>
    <w:rsid w:val="69822CEE"/>
    <w:rsid w:val="69843527"/>
    <w:rsid w:val="6985211D"/>
    <w:rsid w:val="69893889"/>
    <w:rsid w:val="699D66A3"/>
    <w:rsid w:val="699E5043"/>
    <w:rsid w:val="69A972D7"/>
    <w:rsid w:val="69B645B2"/>
    <w:rsid w:val="69BA03C1"/>
    <w:rsid w:val="69CC5D8E"/>
    <w:rsid w:val="69D009DD"/>
    <w:rsid w:val="69D11F8E"/>
    <w:rsid w:val="69DB6D68"/>
    <w:rsid w:val="69E22D0E"/>
    <w:rsid w:val="69E505FB"/>
    <w:rsid w:val="69FD1FC2"/>
    <w:rsid w:val="69FF7F54"/>
    <w:rsid w:val="6A151613"/>
    <w:rsid w:val="6A1E6ABE"/>
    <w:rsid w:val="6A233AE5"/>
    <w:rsid w:val="6A292471"/>
    <w:rsid w:val="6A307508"/>
    <w:rsid w:val="6A33145C"/>
    <w:rsid w:val="6A340F57"/>
    <w:rsid w:val="6A352625"/>
    <w:rsid w:val="6A4A0894"/>
    <w:rsid w:val="6A572134"/>
    <w:rsid w:val="6A5860D2"/>
    <w:rsid w:val="6A5F27C6"/>
    <w:rsid w:val="6A722F6A"/>
    <w:rsid w:val="6A76520A"/>
    <w:rsid w:val="6A771511"/>
    <w:rsid w:val="6A7A0A27"/>
    <w:rsid w:val="6A7C79CE"/>
    <w:rsid w:val="6A874E88"/>
    <w:rsid w:val="6A9C213D"/>
    <w:rsid w:val="6AAB1FFE"/>
    <w:rsid w:val="6AAB37F8"/>
    <w:rsid w:val="6AAB7931"/>
    <w:rsid w:val="6AD514FD"/>
    <w:rsid w:val="6AE368DE"/>
    <w:rsid w:val="6AE468C4"/>
    <w:rsid w:val="6AFB4E1D"/>
    <w:rsid w:val="6B047C64"/>
    <w:rsid w:val="6B18772A"/>
    <w:rsid w:val="6B1B4D33"/>
    <w:rsid w:val="6B1E3C9B"/>
    <w:rsid w:val="6B226786"/>
    <w:rsid w:val="6B337C49"/>
    <w:rsid w:val="6B3416F8"/>
    <w:rsid w:val="6B3F01CC"/>
    <w:rsid w:val="6B417DDF"/>
    <w:rsid w:val="6B4F5FEE"/>
    <w:rsid w:val="6B53760B"/>
    <w:rsid w:val="6B5729CE"/>
    <w:rsid w:val="6B5851D6"/>
    <w:rsid w:val="6B5B194D"/>
    <w:rsid w:val="6B657CB8"/>
    <w:rsid w:val="6B6C7AC2"/>
    <w:rsid w:val="6B6E4CB6"/>
    <w:rsid w:val="6B7231A0"/>
    <w:rsid w:val="6B764D4B"/>
    <w:rsid w:val="6B772420"/>
    <w:rsid w:val="6B7A3F9D"/>
    <w:rsid w:val="6B827353"/>
    <w:rsid w:val="6B944E0D"/>
    <w:rsid w:val="6BA15E85"/>
    <w:rsid w:val="6BCD4485"/>
    <w:rsid w:val="6BE437C0"/>
    <w:rsid w:val="6BEB7E07"/>
    <w:rsid w:val="6BF116B6"/>
    <w:rsid w:val="6BF52B32"/>
    <w:rsid w:val="6BFC226D"/>
    <w:rsid w:val="6BFC5A9A"/>
    <w:rsid w:val="6C001B2C"/>
    <w:rsid w:val="6C081E81"/>
    <w:rsid w:val="6C144697"/>
    <w:rsid w:val="6C161109"/>
    <w:rsid w:val="6C1A2C14"/>
    <w:rsid w:val="6C1E4EC4"/>
    <w:rsid w:val="6C210515"/>
    <w:rsid w:val="6C32400D"/>
    <w:rsid w:val="6C337889"/>
    <w:rsid w:val="6C357A74"/>
    <w:rsid w:val="6C393828"/>
    <w:rsid w:val="6C453014"/>
    <w:rsid w:val="6C4920B2"/>
    <w:rsid w:val="6C4D4B42"/>
    <w:rsid w:val="6C6435BC"/>
    <w:rsid w:val="6C6C19CD"/>
    <w:rsid w:val="6C72269C"/>
    <w:rsid w:val="6C8E74B5"/>
    <w:rsid w:val="6C972779"/>
    <w:rsid w:val="6C9B2A9C"/>
    <w:rsid w:val="6C9F2E19"/>
    <w:rsid w:val="6CA0075C"/>
    <w:rsid w:val="6CB9353A"/>
    <w:rsid w:val="6CBF2AC1"/>
    <w:rsid w:val="6CC939EC"/>
    <w:rsid w:val="6CCF0DC2"/>
    <w:rsid w:val="6CD3770C"/>
    <w:rsid w:val="6CDB221F"/>
    <w:rsid w:val="6CDB23BF"/>
    <w:rsid w:val="6CE66F28"/>
    <w:rsid w:val="6CF71D7B"/>
    <w:rsid w:val="6CF73DD1"/>
    <w:rsid w:val="6CFC2A23"/>
    <w:rsid w:val="6CFD459A"/>
    <w:rsid w:val="6D0B0145"/>
    <w:rsid w:val="6D0B77C0"/>
    <w:rsid w:val="6D184E43"/>
    <w:rsid w:val="6D304E75"/>
    <w:rsid w:val="6D375ECF"/>
    <w:rsid w:val="6D3B1836"/>
    <w:rsid w:val="6D3F18FA"/>
    <w:rsid w:val="6D504B6C"/>
    <w:rsid w:val="6D506C3D"/>
    <w:rsid w:val="6D5348B8"/>
    <w:rsid w:val="6D585A4E"/>
    <w:rsid w:val="6D634C12"/>
    <w:rsid w:val="6D6D23E0"/>
    <w:rsid w:val="6D6F1F57"/>
    <w:rsid w:val="6D7560ED"/>
    <w:rsid w:val="6D767B38"/>
    <w:rsid w:val="6D802F9D"/>
    <w:rsid w:val="6D8F32E2"/>
    <w:rsid w:val="6D990439"/>
    <w:rsid w:val="6D9C0386"/>
    <w:rsid w:val="6DA319FC"/>
    <w:rsid w:val="6DA867B8"/>
    <w:rsid w:val="6DB00901"/>
    <w:rsid w:val="6DB14284"/>
    <w:rsid w:val="6DB825D4"/>
    <w:rsid w:val="6DCC0F93"/>
    <w:rsid w:val="6DE159F2"/>
    <w:rsid w:val="6DE50FFB"/>
    <w:rsid w:val="6DE57BBE"/>
    <w:rsid w:val="6DE91AC4"/>
    <w:rsid w:val="6DF07A20"/>
    <w:rsid w:val="6DF754E0"/>
    <w:rsid w:val="6DFD7DAF"/>
    <w:rsid w:val="6DFF137D"/>
    <w:rsid w:val="6E217330"/>
    <w:rsid w:val="6E27144B"/>
    <w:rsid w:val="6E2C0D10"/>
    <w:rsid w:val="6E354B30"/>
    <w:rsid w:val="6E360559"/>
    <w:rsid w:val="6E5137C9"/>
    <w:rsid w:val="6E6523A7"/>
    <w:rsid w:val="6E6577CD"/>
    <w:rsid w:val="6E6E6C00"/>
    <w:rsid w:val="6E76413D"/>
    <w:rsid w:val="6E812F68"/>
    <w:rsid w:val="6E8135FF"/>
    <w:rsid w:val="6E8B6899"/>
    <w:rsid w:val="6E8F5627"/>
    <w:rsid w:val="6E934E68"/>
    <w:rsid w:val="6E957BF0"/>
    <w:rsid w:val="6E9A528B"/>
    <w:rsid w:val="6E9E7E9E"/>
    <w:rsid w:val="6EA948DD"/>
    <w:rsid w:val="6EAD0E36"/>
    <w:rsid w:val="6EB532BE"/>
    <w:rsid w:val="6EBD65B3"/>
    <w:rsid w:val="6EC40B4E"/>
    <w:rsid w:val="6ED37179"/>
    <w:rsid w:val="6EE05154"/>
    <w:rsid w:val="6EE93C40"/>
    <w:rsid w:val="6EEA03F2"/>
    <w:rsid w:val="6EFC4AF1"/>
    <w:rsid w:val="6F0C18C8"/>
    <w:rsid w:val="6F26381C"/>
    <w:rsid w:val="6F280832"/>
    <w:rsid w:val="6F2E0EED"/>
    <w:rsid w:val="6F3478BB"/>
    <w:rsid w:val="6F4153F3"/>
    <w:rsid w:val="6F4463A8"/>
    <w:rsid w:val="6F5E0E69"/>
    <w:rsid w:val="6F6716D3"/>
    <w:rsid w:val="6F6C0E42"/>
    <w:rsid w:val="6F7B3EDC"/>
    <w:rsid w:val="6F7C3F56"/>
    <w:rsid w:val="6F8E4282"/>
    <w:rsid w:val="6F8E7202"/>
    <w:rsid w:val="6F990986"/>
    <w:rsid w:val="6F9C0EDB"/>
    <w:rsid w:val="6F9E7198"/>
    <w:rsid w:val="6FA04710"/>
    <w:rsid w:val="6FA136C6"/>
    <w:rsid w:val="6FA1396F"/>
    <w:rsid w:val="6FC170B5"/>
    <w:rsid w:val="6FC66ECC"/>
    <w:rsid w:val="6FCD6BA5"/>
    <w:rsid w:val="6FD74AB8"/>
    <w:rsid w:val="6FDD5A68"/>
    <w:rsid w:val="6FE16B44"/>
    <w:rsid w:val="6FED26F6"/>
    <w:rsid w:val="6FF33BC0"/>
    <w:rsid w:val="6FFF274E"/>
    <w:rsid w:val="6FFFE6F2"/>
    <w:rsid w:val="700249D6"/>
    <w:rsid w:val="700F2590"/>
    <w:rsid w:val="70132992"/>
    <w:rsid w:val="702026DF"/>
    <w:rsid w:val="70232BE2"/>
    <w:rsid w:val="702860E7"/>
    <w:rsid w:val="702A27C5"/>
    <w:rsid w:val="703461AB"/>
    <w:rsid w:val="70372650"/>
    <w:rsid w:val="70400D63"/>
    <w:rsid w:val="70414EEF"/>
    <w:rsid w:val="70471DDC"/>
    <w:rsid w:val="704C4D35"/>
    <w:rsid w:val="704C76D5"/>
    <w:rsid w:val="70587970"/>
    <w:rsid w:val="705A1486"/>
    <w:rsid w:val="70793DE4"/>
    <w:rsid w:val="707B40DE"/>
    <w:rsid w:val="707F0897"/>
    <w:rsid w:val="708D2431"/>
    <w:rsid w:val="70A0456C"/>
    <w:rsid w:val="70AF3722"/>
    <w:rsid w:val="70B37ABB"/>
    <w:rsid w:val="70BE43E2"/>
    <w:rsid w:val="70C86BBA"/>
    <w:rsid w:val="70DA7694"/>
    <w:rsid w:val="70E63BD2"/>
    <w:rsid w:val="70EA6DCA"/>
    <w:rsid w:val="70EB29FB"/>
    <w:rsid w:val="70EE7958"/>
    <w:rsid w:val="70FA6866"/>
    <w:rsid w:val="7103592E"/>
    <w:rsid w:val="71052A55"/>
    <w:rsid w:val="710879B3"/>
    <w:rsid w:val="711C08E7"/>
    <w:rsid w:val="712629B7"/>
    <w:rsid w:val="71365F8B"/>
    <w:rsid w:val="71372976"/>
    <w:rsid w:val="7137376B"/>
    <w:rsid w:val="71383EAD"/>
    <w:rsid w:val="716D04E4"/>
    <w:rsid w:val="717F4C33"/>
    <w:rsid w:val="718A5FAF"/>
    <w:rsid w:val="718B5197"/>
    <w:rsid w:val="71900AD7"/>
    <w:rsid w:val="71912074"/>
    <w:rsid w:val="71A2561F"/>
    <w:rsid w:val="71A7421A"/>
    <w:rsid w:val="71B30AFE"/>
    <w:rsid w:val="71B55F74"/>
    <w:rsid w:val="71B70F25"/>
    <w:rsid w:val="71BA539A"/>
    <w:rsid w:val="71BB72B9"/>
    <w:rsid w:val="71BF63C8"/>
    <w:rsid w:val="71C539B6"/>
    <w:rsid w:val="71C75B4D"/>
    <w:rsid w:val="71D539E7"/>
    <w:rsid w:val="71EF1579"/>
    <w:rsid w:val="71F91AE7"/>
    <w:rsid w:val="720B24BD"/>
    <w:rsid w:val="72110AF2"/>
    <w:rsid w:val="721F1A17"/>
    <w:rsid w:val="72263F1B"/>
    <w:rsid w:val="7228423B"/>
    <w:rsid w:val="722D53BA"/>
    <w:rsid w:val="722E2831"/>
    <w:rsid w:val="723121FB"/>
    <w:rsid w:val="7250106C"/>
    <w:rsid w:val="72552DBD"/>
    <w:rsid w:val="726B0FA3"/>
    <w:rsid w:val="726C0492"/>
    <w:rsid w:val="7272078E"/>
    <w:rsid w:val="7272438B"/>
    <w:rsid w:val="727870F2"/>
    <w:rsid w:val="727F6DEC"/>
    <w:rsid w:val="72844795"/>
    <w:rsid w:val="72952638"/>
    <w:rsid w:val="729F6401"/>
    <w:rsid w:val="72A215A0"/>
    <w:rsid w:val="72A341CC"/>
    <w:rsid w:val="72AB1961"/>
    <w:rsid w:val="72B130F2"/>
    <w:rsid w:val="72B24DFE"/>
    <w:rsid w:val="72C41010"/>
    <w:rsid w:val="72C5219D"/>
    <w:rsid w:val="72CB4C6C"/>
    <w:rsid w:val="72CD2576"/>
    <w:rsid w:val="72D47A51"/>
    <w:rsid w:val="72E40776"/>
    <w:rsid w:val="72E4092D"/>
    <w:rsid w:val="72EF12E0"/>
    <w:rsid w:val="72F31532"/>
    <w:rsid w:val="73013779"/>
    <w:rsid w:val="73037DAD"/>
    <w:rsid w:val="7309526A"/>
    <w:rsid w:val="730B55BA"/>
    <w:rsid w:val="731E3876"/>
    <w:rsid w:val="732007C1"/>
    <w:rsid w:val="73256E4D"/>
    <w:rsid w:val="73303038"/>
    <w:rsid w:val="73355CD2"/>
    <w:rsid w:val="7336321E"/>
    <w:rsid w:val="735E4C3B"/>
    <w:rsid w:val="73642030"/>
    <w:rsid w:val="737D0ED5"/>
    <w:rsid w:val="737F549A"/>
    <w:rsid w:val="738521D0"/>
    <w:rsid w:val="738946F3"/>
    <w:rsid w:val="738F76C2"/>
    <w:rsid w:val="739678D9"/>
    <w:rsid w:val="739B2381"/>
    <w:rsid w:val="73A92061"/>
    <w:rsid w:val="73B04D87"/>
    <w:rsid w:val="73B20AA4"/>
    <w:rsid w:val="73B40001"/>
    <w:rsid w:val="73B464B8"/>
    <w:rsid w:val="73B66222"/>
    <w:rsid w:val="73BD28C0"/>
    <w:rsid w:val="73D42C49"/>
    <w:rsid w:val="73D858E3"/>
    <w:rsid w:val="73DC4E54"/>
    <w:rsid w:val="73E04605"/>
    <w:rsid w:val="73E077FE"/>
    <w:rsid w:val="73E37406"/>
    <w:rsid w:val="73FC1C53"/>
    <w:rsid w:val="73FD44FA"/>
    <w:rsid w:val="73FE55A5"/>
    <w:rsid w:val="740D4CB8"/>
    <w:rsid w:val="741503E9"/>
    <w:rsid w:val="74265823"/>
    <w:rsid w:val="742E12D4"/>
    <w:rsid w:val="742E7BBF"/>
    <w:rsid w:val="743A00B4"/>
    <w:rsid w:val="743A0F83"/>
    <w:rsid w:val="74495B7D"/>
    <w:rsid w:val="744D377C"/>
    <w:rsid w:val="744E1A17"/>
    <w:rsid w:val="744F2116"/>
    <w:rsid w:val="745851F8"/>
    <w:rsid w:val="745D0A4B"/>
    <w:rsid w:val="746C2AD2"/>
    <w:rsid w:val="746C57AC"/>
    <w:rsid w:val="746D0CD9"/>
    <w:rsid w:val="747E5F41"/>
    <w:rsid w:val="74822D78"/>
    <w:rsid w:val="74851078"/>
    <w:rsid w:val="748F0814"/>
    <w:rsid w:val="74A35C3A"/>
    <w:rsid w:val="74B5229A"/>
    <w:rsid w:val="74C14D83"/>
    <w:rsid w:val="74C524E5"/>
    <w:rsid w:val="74CC54EC"/>
    <w:rsid w:val="74CE3B36"/>
    <w:rsid w:val="74E2227D"/>
    <w:rsid w:val="74E427C7"/>
    <w:rsid w:val="74E63CA8"/>
    <w:rsid w:val="74FA0379"/>
    <w:rsid w:val="75007EFF"/>
    <w:rsid w:val="75183C80"/>
    <w:rsid w:val="751E6081"/>
    <w:rsid w:val="7549020D"/>
    <w:rsid w:val="755C1BC9"/>
    <w:rsid w:val="755C724B"/>
    <w:rsid w:val="756B2C4C"/>
    <w:rsid w:val="756E24C2"/>
    <w:rsid w:val="75931E2C"/>
    <w:rsid w:val="75993B1E"/>
    <w:rsid w:val="75A35091"/>
    <w:rsid w:val="75B675BF"/>
    <w:rsid w:val="75B95552"/>
    <w:rsid w:val="75D27928"/>
    <w:rsid w:val="75F51208"/>
    <w:rsid w:val="760152A1"/>
    <w:rsid w:val="76044919"/>
    <w:rsid w:val="76113149"/>
    <w:rsid w:val="7634513C"/>
    <w:rsid w:val="763E682E"/>
    <w:rsid w:val="764C4657"/>
    <w:rsid w:val="76536B52"/>
    <w:rsid w:val="765A11E5"/>
    <w:rsid w:val="76675AE9"/>
    <w:rsid w:val="76696DDC"/>
    <w:rsid w:val="7673502E"/>
    <w:rsid w:val="767F2A5C"/>
    <w:rsid w:val="76880F2C"/>
    <w:rsid w:val="768B0186"/>
    <w:rsid w:val="768B1C93"/>
    <w:rsid w:val="768B40CD"/>
    <w:rsid w:val="769105D2"/>
    <w:rsid w:val="76921BA8"/>
    <w:rsid w:val="76967BBA"/>
    <w:rsid w:val="769841FD"/>
    <w:rsid w:val="769A5E24"/>
    <w:rsid w:val="76A20E02"/>
    <w:rsid w:val="76A41437"/>
    <w:rsid w:val="76A97992"/>
    <w:rsid w:val="76AA1591"/>
    <w:rsid w:val="76C347C9"/>
    <w:rsid w:val="76C8106A"/>
    <w:rsid w:val="76C87F7E"/>
    <w:rsid w:val="76D00FDC"/>
    <w:rsid w:val="76D44188"/>
    <w:rsid w:val="76DB4F54"/>
    <w:rsid w:val="76DD5DF9"/>
    <w:rsid w:val="76DF6B37"/>
    <w:rsid w:val="76F15F2C"/>
    <w:rsid w:val="76F27BB6"/>
    <w:rsid w:val="76FF4234"/>
    <w:rsid w:val="77267215"/>
    <w:rsid w:val="772B6C70"/>
    <w:rsid w:val="772C5CB8"/>
    <w:rsid w:val="773518A8"/>
    <w:rsid w:val="77433480"/>
    <w:rsid w:val="77435329"/>
    <w:rsid w:val="77443393"/>
    <w:rsid w:val="774C2FD4"/>
    <w:rsid w:val="777C01B6"/>
    <w:rsid w:val="77877BD8"/>
    <w:rsid w:val="77890687"/>
    <w:rsid w:val="778B060A"/>
    <w:rsid w:val="77920CAC"/>
    <w:rsid w:val="77957E90"/>
    <w:rsid w:val="779608B1"/>
    <w:rsid w:val="77AF2126"/>
    <w:rsid w:val="77BB317F"/>
    <w:rsid w:val="77C47D08"/>
    <w:rsid w:val="77CD18A4"/>
    <w:rsid w:val="77D04452"/>
    <w:rsid w:val="77D41952"/>
    <w:rsid w:val="77D646B3"/>
    <w:rsid w:val="77DA45AA"/>
    <w:rsid w:val="77DA618C"/>
    <w:rsid w:val="77E07549"/>
    <w:rsid w:val="77E64A52"/>
    <w:rsid w:val="77EE0AE2"/>
    <w:rsid w:val="77F4AD7B"/>
    <w:rsid w:val="77F72368"/>
    <w:rsid w:val="77FB48C7"/>
    <w:rsid w:val="77FD2D80"/>
    <w:rsid w:val="78070056"/>
    <w:rsid w:val="780E3CFB"/>
    <w:rsid w:val="78104B70"/>
    <w:rsid w:val="781C4EEF"/>
    <w:rsid w:val="781C6C86"/>
    <w:rsid w:val="781F516D"/>
    <w:rsid w:val="782A498E"/>
    <w:rsid w:val="783D4BB9"/>
    <w:rsid w:val="783E1BE4"/>
    <w:rsid w:val="78417232"/>
    <w:rsid w:val="78503129"/>
    <w:rsid w:val="78512DE5"/>
    <w:rsid w:val="78520B14"/>
    <w:rsid w:val="78521720"/>
    <w:rsid w:val="7854746F"/>
    <w:rsid w:val="785E41D7"/>
    <w:rsid w:val="788146C9"/>
    <w:rsid w:val="78862AA4"/>
    <w:rsid w:val="788B4C8F"/>
    <w:rsid w:val="788D58B5"/>
    <w:rsid w:val="788E6731"/>
    <w:rsid w:val="78904CBD"/>
    <w:rsid w:val="78957033"/>
    <w:rsid w:val="7898093B"/>
    <w:rsid w:val="7899024B"/>
    <w:rsid w:val="789E65DE"/>
    <w:rsid w:val="78A027B1"/>
    <w:rsid w:val="78A17015"/>
    <w:rsid w:val="78AD314F"/>
    <w:rsid w:val="78AE643A"/>
    <w:rsid w:val="78D432AE"/>
    <w:rsid w:val="78D91C96"/>
    <w:rsid w:val="78D92F1C"/>
    <w:rsid w:val="78DE4DD2"/>
    <w:rsid w:val="78DF76C5"/>
    <w:rsid w:val="78EC0492"/>
    <w:rsid w:val="790244E5"/>
    <w:rsid w:val="790902D2"/>
    <w:rsid w:val="791403C6"/>
    <w:rsid w:val="791430B9"/>
    <w:rsid w:val="7919747D"/>
    <w:rsid w:val="791B1C83"/>
    <w:rsid w:val="792239AB"/>
    <w:rsid w:val="792335EA"/>
    <w:rsid w:val="79287688"/>
    <w:rsid w:val="792B42C3"/>
    <w:rsid w:val="793B25D6"/>
    <w:rsid w:val="793B5CD3"/>
    <w:rsid w:val="793F36FA"/>
    <w:rsid w:val="794500F1"/>
    <w:rsid w:val="795E52A8"/>
    <w:rsid w:val="79675F4B"/>
    <w:rsid w:val="7968203E"/>
    <w:rsid w:val="797207DB"/>
    <w:rsid w:val="79891E64"/>
    <w:rsid w:val="79903B9E"/>
    <w:rsid w:val="799250D8"/>
    <w:rsid w:val="7992605B"/>
    <w:rsid w:val="799A31CF"/>
    <w:rsid w:val="799E0E3B"/>
    <w:rsid w:val="79B84C10"/>
    <w:rsid w:val="79BA17E4"/>
    <w:rsid w:val="79BD1746"/>
    <w:rsid w:val="79BD1A60"/>
    <w:rsid w:val="79BD4C39"/>
    <w:rsid w:val="79C43E58"/>
    <w:rsid w:val="79C66CE5"/>
    <w:rsid w:val="79F56560"/>
    <w:rsid w:val="7A066D60"/>
    <w:rsid w:val="7A067274"/>
    <w:rsid w:val="7A262840"/>
    <w:rsid w:val="7A3E1E86"/>
    <w:rsid w:val="7A420D66"/>
    <w:rsid w:val="7A4E6EAB"/>
    <w:rsid w:val="7A596ACD"/>
    <w:rsid w:val="7A6A40A9"/>
    <w:rsid w:val="7A6B4F43"/>
    <w:rsid w:val="7A6B6AF1"/>
    <w:rsid w:val="7A6F7E38"/>
    <w:rsid w:val="7A7909D3"/>
    <w:rsid w:val="7A7A00A1"/>
    <w:rsid w:val="7A7D240C"/>
    <w:rsid w:val="7A886D1A"/>
    <w:rsid w:val="7A8F7EEB"/>
    <w:rsid w:val="7A9932D3"/>
    <w:rsid w:val="7AA662EE"/>
    <w:rsid w:val="7AA717B8"/>
    <w:rsid w:val="7AB27E46"/>
    <w:rsid w:val="7AD46941"/>
    <w:rsid w:val="7AE77CFC"/>
    <w:rsid w:val="7AF00DE1"/>
    <w:rsid w:val="7AF01AA6"/>
    <w:rsid w:val="7AF40420"/>
    <w:rsid w:val="7AF97888"/>
    <w:rsid w:val="7AFC3E59"/>
    <w:rsid w:val="7AFC56D0"/>
    <w:rsid w:val="7B0B6FF2"/>
    <w:rsid w:val="7B0D1058"/>
    <w:rsid w:val="7B1B5378"/>
    <w:rsid w:val="7B1E0BA4"/>
    <w:rsid w:val="7B253506"/>
    <w:rsid w:val="7B2C19B7"/>
    <w:rsid w:val="7B385ABF"/>
    <w:rsid w:val="7B445F94"/>
    <w:rsid w:val="7B4D51C4"/>
    <w:rsid w:val="7B5B94E8"/>
    <w:rsid w:val="7B611CB5"/>
    <w:rsid w:val="7B6E1E46"/>
    <w:rsid w:val="7B704444"/>
    <w:rsid w:val="7B7359A8"/>
    <w:rsid w:val="7B743C75"/>
    <w:rsid w:val="7B8B12DB"/>
    <w:rsid w:val="7B8C7083"/>
    <w:rsid w:val="7B8F138F"/>
    <w:rsid w:val="7B914877"/>
    <w:rsid w:val="7B916F71"/>
    <w:rsid w:val="7B991033"/>
    <w:rsid w:val="7BAA3738"/>
    <w:rsid w:val="7BAD46AA"/>
    <w:rsid w:val="7BB4051D"/>
    <w:rsid w:val="7BBF2B35"/>
    <w:rsid w:val="7BC471A2"/>
    <w:rsid w:val="7BC830F2"/>
    <w:rsid w:val="7BCF3FB5"/>
    <w:rsid w:val="7BDB3B2A"/>
    <w:rsid w:val="7BE311D3"/>
    <w:rsid w:val="7BE4557D"/>
    <w:rsid w:val="7BE75339"/>
    <w:rsid w:val="7BF46964"/>
    <w:rsid w:val="7C0126C7"/>
    <w:rsid w:val="7C01570A"/>
    <w:rsid w:val="7C095C32"/>
    <w:rsid w:val="7C0D7F8A"/>
    <w:rsid w:val="7C122CFA"/>
    <w:rsid w:val="7C1E1273"/>
    <w:rsid w:val="7C254C59"/>
    <w:rsid w:val="7C2E4013"/>
    <w:rsid w:val="7C3030F1"/>
    <w:rsid w:val="7C304208"/>
    <w:rsid w:val="7C3640D5"/>
    <w:rsid w:val="7C3B1478"/>
    <w:rsid w:val="7C3E2D3C"/>
    <w:rsid w:val="7C466C81"/>
    <w:rsid w:val="7C4F0A8D"/>
    <w:rsid w:val="7C596CAD"/>
    <w:rsid w:val="7C5C17A6"/>
    <w:rsid w:val="7C5D03E3"/>
    <w:rsid w:val="7C5D44A6"/>
    <w:rsid w:val="7C5E502C"/>
    <w:rsid w:val="7C606BC6"/>
    <w:rsid w:val="7C8B5884"/>
    <w:rsid w:val="7C8D7DB6"/>
    <w:rsid w:val="7C98399E"/>
    <w:rsid w:val="7CB109F2"/>
    <w:rsid w:val="7CB7092F"/>
    <w:rsid w:val="7CBD6B87"/>
    <w:rsid w:val="7CCD1BBA"/>
    <w:rsid w:val="7CCE0915"/>
    <w:rsid w:val="7CD06E96"/>
    <w:rsid w:val="7CD676CC"/>
    <w:rsid w:val="7CD8431D"/>
    <w:rsid w:val="7CE249F2"/>
    <w:rsid w:val="7CE6692C"/>
    <w:rsid w:val="7CF17DE1"/>
    <w:rsid w:val="7CFF3679"/>
    <w:rsid w:val="7D091B0D"/>
    <w:rsid w:val="7D2E0078"/>
    <w:rsid w:val="7D3550B2"/>
    <w:rsid w:val="7D385B2C"/>
    <w:rsid w:val="7D3B176B"/>
    <w:rsid w:val="7D3E135E"/>
    <w:rsid w:val="7D486EC0"/>
    <w:rsid w:val="7D48789F"/>
    <w:rsid w:val="7D57444E"/>
    <w:rsid w:val="7D581859"/>
    <w:rsid w:val="7D6246C1"/>
    <w:rsid w:val="7D7D2832"/>
    <w:rsid w:val="7D7D7827"/>
    <w:rsid w:val="7D8041EE"/>
    <w:rsid w:val="7D8274CA"/>
    <w:rsid w:val="7D840FBD"/>
    <w:rsid w:val="7D857908"/>
    <w:rsid w:val="7D8C05E9"/>
    <w:rsid w:val="7D8F2417"/>
    <w:rsid w:val="7D9362F0"/>
    <w:rsid w:val="7D94273B"/>
    <w:rsid w:val="7D9D079E"/>
    <w:rsid w:val="7DA37E03"/>
    <w:rsid w:val="7DA86469"/>
    <w:rsid w:val="7DAD0A8D"/>
    <w:rsid w:val="7DB51D20"/>
    <w:rsid w:val="7DC0720D"/>
    <w:rsid w:val="7DC14389"/>
    <w:rsid w:val="7DC66901"/>
    <w:rsid w:val="7DCF2E20"/>
    <w:rsid w:val="7DE718D5"/>
    <w:rsid w:val="7DE9723A"/>
    <w:rsid w:val="7DF11C76"/>
    <w:rsid w:val="7DF622E7"/>
    <w:rsid w:val="7E0E7161"/>
    <w:rsid w:val="7E135004"/>
    <w:rsid w:val="7E16130F"/>
    <w:rsid w:val="7E187EFD"/>
    <w:rsid w:val="7E1939CF"/>
    <w:rsid w:val="7E1C08DF"/>
    <w:rsid w:val="7E260F64"/>
    <w:rsid w:val="7E324A45"/>
    <w:rsid w:val="7E390E9C"/>
    <w:rsid w:val="7E4826E3"/>
    <w:rsid w:val="7E551CB1"/>
    <w:rsid w:val="7E572004"/>
    <w:rsid w:val="7E5868EB"/>
    <w:rsid w:val="7E5B730D"/>
    <w:rsid w:val="7E5C5A2E"/>
    <w:rsid w:val="7E612B23"/>
    <w:rsid w:val="7E777226"/>
    <w:rsid w:val="7E7918C4"/>
    <w:rsid w:val="7E7A31E1"/>
    <w:rsid w:val="7E8449F3"/>
    <w:rsid w:val="7E8D6D4B"/>
    <w:rsid w:val="7EA810B1"/>
    <w:rsid w:val="7EA874B2"/>
    <w:rsid w:val="7EAC4F8A"/>
    <w:rsid w:val="7EBE0B74"/>
    <w:rsid w:val="7EC141E6"/>
    <w:rsid w:val="7EC918E9"/>
    <w:rsid w:val="7ED31EC3"/>
    <w:rsid w:val="7EDF6ECA"/>
    <w:rsid w:val="7EEF0C0B"/>
    <w:rsid w:val="7EF07F75"/>
    <w:rsid w:val="7EF7F316"/>
    <w:rsid w:val="7EFC3EE0"/>
    <w:rsid w:val="7F0333BC"/>
    <w:rsid w:val="7F285CAD"/>
    <w:rsid w:val="7F376731"/>
    <w:rsid w:val="7F3866A9"/>
    <w:rsid w:val="7F3E42BD"/>
    <w:rsid w:val="7F4679A3"/>
    <w:rsid w:val="7F490CF4"/>
    <w:rsid w:val="7F507D30"/>
    <w:rsid w:val="7F645B60"/>
    <w:rsid w:val="7F673318"/>
    <w:rsid w:val="7F677961"/>
    <w:rsid w:val="7F685D4E"/>
    <w:rsid w:val="7F745709"/>
    <w:rsid w:val="7F7731E4"/>
    <w:rsid w:val="7F7D483D"/>
    <w:rsid w:val="7F820506"/>
    <w:rsid w:val="7F951E5C"/>
    <w:rsid w:val="7FA41A25"/>
    <w:rsid w:val="7FA93ADF"/>
    <w:rsid w:val="7FAB6391"/>
    <w:rsid w:val="7FAD3D7B"/>
    <w:rsid w:val="7FCC36B7"/>
    <w:rsid w:val="7FCF1F18"/>
    <w:rsid w:val="7FD64487"/>
    <w:rsid w:val="7FD90D5A"/>
    <w:rsid w:val="7FD91D02"/>
    <w:rsid w:val="7FDC74D8"/>
    <w:rsid w:val="7FDF7381"/>
    <w:rsid w:val="7FE2372A"/>
    <w:rsid w:val="7FF10B28"/>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143E13-AFF3-4342-B5CE-3969F78B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186E57-EEC5-4168-A467-84874A545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2679</Words>
  <Characters>15273</Characters>
  <Application>Microsoft Office Word</Application>
  <DocSecurity>0</DocSecurity>
  <Lines>127</Lines>
  <Paragraphs>35</Paragraphs>
  <ScaleCrop>false</ScaleCrop>
  <Company>ZTE</Company>
  <LinksUpToDate>false</LinksUpToDate>
  <CharactersWithSpaces>17917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Rapp-ZTE</cp:lastModifiedBy>
  <cp:revision>12</cp:revision>
  <cp:lastPrinted>2113-01-01T16:00:00Z</cp:lastPrinted>
  <dcterms:created xsi:type="dcterms:W3CDTF">2019-11-08T16:29:00Z</dcterms:created>
  <dcterms:modified xsi:type="dcterms:W3CDTF">2021-01-15T05:50:00Z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